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DCE" w:rsidRDefault="00501D4C">
      <w:r>
        <w:t>BACKGROUND NOTES FOR LECTURES AT SCUMACHER COLLEGE</w:t>
      </w:r>
    </w:p>
    <w:p w:rsidR="00501D4C" w:rsidRDefault="00501D4C"/>
    <w:p w:rsidR="00501D4C" w:rsidRDefault="00501D4C">
      <w:r>
        <w:t>Peter Harper</w:t>
      </w:r>
    </w:p>
    <w:p w:rsidR="00501D4C" w:rsidRDefault="00501D4C"/>
    <w:p w:rsidR="00501D4C" w:rsidRDefault="00501D4C"/>
    <w:p w:rsidR="00501D4C" w:rsidRDefault="00501D4C"/>
    <w:p w:rsidR="00501D4C" w:rsidRDefault="00501D4C"/>
    <w:p w:rsidR="00501D4C" w:rsidRDefault="00501D4C">
      <w:r>
        <w:t>LECTURE 1</w:t>
      </w:r>
    </w:p>
    <w:p w:rsidR="00501D4C" w:rsidRDefault="00501D4C">
      <w:r>
        <w:t>THE BIG PICTURE</w:t>
      </w:r>
    </w:p>
    <w:p w:rsidR="00501D4C" w:rsidRDefault="00501D4C"/>
    <w:p w:rsidR="00501D4C" w:rsidRDefault="00434701">
      <w:r>
        <w:t xml:space="preserve">What do we mean by ‘post-carbon? A basic premise of the course is that </w:t>
      </w:r>
      <w:r w:rsidR="00E94502">
        <w:t xml:space="preserve">‘Dangerous </w:t>
      </w:r>
      <w:r>
        <w:t>Climate Change</w:t>
      </w:r>
      <w:r w:rsidR="00E94502">
        <w:t>’ (DCC) is the key contemporary problem and it is necessary to prevent it. DCC</w:t>
      </w:r>
      <w:r>
        <w:t xml:space="preserve"> is </w:t>
      </w:r>
      <w:r w:rsidR="00E94502">
        <w:t xml:space="preserve">assumed </w:t>
      </w:r>
      <w:r>
        <w:t xml:space="preserve">potentially a </w:t>
      </w:r>
      <w:r w:rsidR="00E94502">
        <w:t xml:space="preserve">very </w:t>
      </w:r>
      <w:r>
        <w:t>serious issue and justifies early, and possibly disruptive and costly, efforts to prevent it.</w:t>
      </w:r>
      <w:r w:rsidR="0068097D">
        <w:t xml:space="preserve">  This is not universally accepted.</w:t>
      </w:r>
    </w:p>
    <w:p w:rsidR="00E94502" w:rsidRDefault="00E94502"/>
    <w:p w:rsidR="00E94502" w:rsidRDefault="00E94502">
      <w:r>
        <w:t>The table summarises some of the alternative assumptions that lead to differing attitudes and policy choices. It is well to remember that much discussion about climate issues is a somewhat fuzzy blend of science and politics. In the course, for clarity’s sake we try hard to keep the politics out, but in the end they cannot be ignored.</w:t>
      </w:r>
    </w:p>
    <w:p w:rsidR="0056090B" w:rsidRDefault="0056090B"/>
    <w:tbl>
      <w:tblPr>
        <w:tblStyle w:val="TableGrid"/>
        <w:tblW w:w="0" w:type="auto"/>
        <w:tblLook w:val="04A0" w:firstRow="1" w:lastRow="0" w:firstColumn="1" w:lastColumn="0" w:noHBand="0" w:noVBand="1"/>
      </w:tblPr>
      <w:tblGrid>
        <w:gridCol w:w="918"/>
        <w:gridCol w:w="1800"/>
        <w:gridCol w:w="2700"/>
        <w:gridCol w:w="3104"/>
      </w:tblGrid>
      <w:tr w:rsidR="0056090B" w:rsidTr="00374ABB">
        <w:tc>
          <w:tcPr>
            <w:tcW w:w="918" w:type="dxa"/>
          </w:tcPr>
          <w:p w:rsidR="0056090B" w:rsidRDefault="0056090B" w:rsidP="00374ABB"/>
        </w:tc>
        <w:tc>
          <w:tcPr>
            <w:tcW w:w="1800" w:type="dxa"/>
          </w:tcPr>
          <w:p w:rsidR="0056090B" w:rsidRDefault="0056090B" w:rsidP="00374ABB"/>
        </w:tc>
        <w:tc>
          <w:tcPr>
            <w:tcW w:w="5804" w:type="dxa"/>
            <w:gridSpan w:val="2"/>
          </w:tcPr>
          <w:p w:rsidR="0056090B" w:rsidRDefault="0056090B" w:rsidP="00374ABB">
            <w:pPr>
              <w:jc w:val="center"/>
            </w:pPr>
            <w:r>
              <w:t>CLIMATE MODEL</w:t>
            </w:r>
          </w:p>
        </w:tc>
      </w:tr>
      <w:tr w:rsidR="0056090B" w:rsidTr="00374ABB">
        <w:tc>
          <w:tcPr>
            <w:tcW w:w="918" w:type="dxa"/>
          </w:tcPr>
          <w:p w:rsidR="0056090B" w:rsidRDefault="0056090B" w:rsidP="00374ABB"/>
        </w:tc>
        <w:tc>
          <w:tcPr>
            <w:tcW w:w="1800" w:type="dxa"/>
          </w:tcPr>
          <w:p w:rsidR="0056090B" w:rsidRDefault="0056090B" w:rsidP="00374ABB"/>
        </w:tc>
        <w:tc>
          <w:tcPr>
            <w:tcW w:w="2700" w:type="dxa"/>
          </w:tcPr>
          <w:p w:rsidR="0056090B" w:rsidRDefault="0056090B" w:rsidP="00374ABB">
            <w:r>
              <w:t xml:space="preserve">LINEAR </w:t>
            </w:r>
          </w:p>
          <w:p w:rsidR="0056090B" w:rsidRDefault="0056090B" w:rsidP="00374ABB">
            <w:r>
              <w:t>No irreversible states</w:t>
            </w:r>
          </w:p>
        </w:tc>
        <w:tc>
          <w:tcPr>
            <w:tcW w:w="3104" w:type="dxa"/>
          </w:tcPr>
          <w:p w:rsidR="0056090B" w:rsidRDefault="0056090B" w:rsidP="00374ABB">
            <w:r>
              <w:t xml:space="preserve">NONLINEAR </w:t>
            </w:r>
          </w:p>
          <w:p w:rsidR="0056090B" w:rsidRDefault="0056090B" w:rsidP="00374ABB">
            <w:r>
              <w:t>Thresholds, irreversibility</w:t>
            </w:r>
          </w:p>
        </w:tc>
      </w:tr>
      <w:tr w:rsidR="0056090B" w:rsidTr="00374ABB">
        <w:tc>
          <w:tcPr>
            <w:tcW w:w="918" w:type="dxa"/>
            <w:vMerge w:val="restart"/>
            <w:textDirection w:val="btLr"/>
          </w:tcPr>
          <w:p w:rsidR="0056090B" w:rsidRDefault="0056090B" w:rsidP="00374ABB">
            <w:pPr>
              <w:ind w:left="113" w:right="113"/>
              <w:jc w:val="center"/>
            </w:pPr>
            <w:r>
              <w:t>POTENTIAL CONSEQUENCES</w:t>
            </w:r>
          </w:p>
        </w:tc>
        <w:tc>
          <w:tcPr>
            <w:tcW w:w="1800" w:type="dxa"/>
          </w:tcPr>
          <w:p w:rsidR="0056090B" w:rsidRDefault="0056090B" w:rsidP="00374ABB">
            <w:r>
              <w:t xml:space="preserve">VERY SERIOUS </w:t>
            </w:r>
          </w:p>
        </w:tc>
        <w:tc>
          <w:tcPr>
            <w:tcW w:w="2700" w:type="dxa"/>
          </w:tcPr>
          <w:p w:rsidR="0056090B" w:rsidRDefault="0056090B" w:rsidP="00374ABB">
            <w:r>
              <w:t>Standard national policies</w:t>
            </w:r>
          </w:p>
          <w:p w:rsidR="0056090B" w:rsidRDefault="0056090B" w:rsidP="00374ABB">
            <w:r>
              <w:t>Moderate mitigation measures</w:t>
            </w:r>
          </w:p>
          <w:p w:rsidR="0056090B" w:rsidRDefault="0056090B" w:rsidP="00374ABB">
            <w:r>
              <w:t>Proactive adaptation</w:t>
            </w:r>
          </w:p>
        </w:tc>
        <w:tc>
          <w:tcPr>
            <w:tcW w:w="3104" w:type="dxa"/>
          </w:tcPr>
          <w:p w:rsidR="0056090B" w:rsidRDefault="0056090B" w:rsidP="00374ABB">
            <w:r>
              <w:t>“Alarmism”</w:t>
            </w:r>
          </w:p>
          <w:p w:rsidR="0056090B" w:rsidRDefault="0056090B" w:rsidP="00374ABB">
            <w:r>
              <w:t>Strong, early  mitigation measures</w:t>
            </w:r>
          </w:p>
          <w:p w:rsidR="0056090B" w:rsidRDefault="0056090B" w:rsidP="00374ABB">
            <w:r>
              <w:t>Adaptation downplayed</w:t>
            </w:r>
          </w:p>
        </w:tc>
      </w:tr>
      <w:tr w:rsidR="0056090B" w:rsidTr="00374ABB">
        <w:trPr>
          <w:trHeight w:val="1268"/>
        </w:trPr>
        <w:tc>
          <w:tcPr>
            <w:tcW w:w="918" w:type="dxa"/>
            <w:vMerge/>
          </w:tcPr>
          <w:p w:rsidR="0056090B" w:rsidRDefault="0056090B" w:rsidP="00374ABB"/>
        </w:tc>
        <w:tc>
          <w:tcPr>
            <w:tcW w:w="1800" w:type="dxa"/>
          </w:tcPr>
          <w:p w:rsidR="0056090B" w:rsidRDefault="0056090B" w:rsidP="00374ABB">
            <w:r>
              <w:t>MINOR OR MODERATE</w:t>
            </w:r>
          </w:p>
        </w:tc>
        <w:tc>
          <w:tcPr>
            <w:tcW w:w="2700" w:type="dxa"/>
          </w:tcPr>
          <w:p w:rsidR="0056090B" w:rsidRDefault="0056090B" w:rsidP="00374ABB">
            <w:r>
              <w:t>Climate scepticism</w:t>
            </w:r>
          </w:p>
          <w:p w:rsidR="0056090B" w:rsidRDefault="0056090B" w:rsidP="00374ABB">
            <w:r>
              <w:t>Ad hoc adaptation</w:t>
            </w:r>
          </w:p>
          <w:p w:rsidR="0056090B" w:rsidRDefault="0056090B" w:rsidP="00374ABB">
            <w:r>
              <w:t>Confidence in efficacy of market forces</w:t>
            </w:r>
          </w:p>
        </w:tc>
        <w:tc>
          <w:tcPr>
            <w:tcW w:w="3104" w:type="dxa"/>
          </w:tcPr>
          <w:p w:rsidR="0056090B" w:rsidRDefault="0056090B" w:rsidP="00374ABB">
            <w:r>
              <w:t xml:space="preserve">Later mitigation cheaper Adaptation probably cheaper still </w:t>
            </w:r>
          </w:p>
          <w:p w:rsidR="0056090B" w:rsidRDefault="0056090B" w:rsidP="00374ABB">
            <w:r>
              <w:t>‘No regrets’ early mitigation</w:t>
            </w:r>
          </w:p>
          <w:p w:rsidR="0056090B" w:rsidRDefault="0056090B" w:rsidP="00374ABB"/>
        </w:tc>
      </w:tr>
    </w:tbl>
    <w:p w:rsidR="003475AC" w:rsidRDefault="003475AC"/>
    <w:p w:rsidR="003475AC" w:rsidRDefault="003475AC">
      <w:r>
        <w:t>The table is a simple 2X2 matrix. At the top we have a distinction between ‘linear’ and ‘nonlinear’ models of how the climate responds to ‘forcing’, largely by Greenhous</w:t>
      </w:r>
      <w:r w:rsidR="0056090B">
        <w:t>e</w:t>
      </w:r>
      <w:r>
        <w:t xml:space="preserve"> Gases (GHGs). A linear model responds proportionately and predictably; we can see how t</w:t>
      </w:r>
      <w:r w:rsidR="0056090B">
        <w:t>h</w:t>
      </w:r>
      <w:r>
        <w:t xml:space="preserve">ings go, and if it looks bad we can stop. The problem is tractable and reversible. Nonlinear models include the possibility of threshold, chaotic or abrupt events that lead to </w:t>
      </w:r>
      <w:proofErr w:type="gramStart"/>
      <w:r>
        <w:t>irreversible,</w:t>
      </w:r>
      <w:proofErr w:type="gramEnd"/>
      <w:r>
        <w:t xml:space="preserve"> or even self-deteriorating states that might be effectively insoluble.</w:t>
      </w:r>
    </w:p>
    <w:p w:rsidR="003475AC" w:rsidRDefault="003475AC"/>
    <w:p w:rsidR="003475AC" w:rsidRDefault="003475AC">
      <w:r>
        <w:t xml:space="preserve">Climate scientists, on the whole, tend to favour non-linear models, but </w:t>
      </w:r>
      <w:r w:rsidR="0056090B">
        <w:t xml:space="preserve">as with </w:t>
      </w:r>
      <w:r w:rsidR="0056090B">
        <w:t>earthquake</w:t>
      </w:r>
      <w:r w:rsidR="0056090B">
        <w:t xml:space="preserve">s, </w:t>
      </w:r>
      <w:r>
        <w:t>cannot predict in detail when threshold events might occur.</w:t>
      </w:r>
      <w:r w:rsidR="0056090B">
        <w:t xml:space="preserve"> </w:t>
      </w:r>
      <w:r w:rsidR="001B6263">
        <w:t xml:space="preserve"> A rather unstable compromise has been reached between the research community and the international political community that </w:t>
      </w:r>
      <w:proofErr w:type="gramStart"/>
      <w:r w:rsidR="001B6263">
        <w:t>temperature rise</w:t>
      </w:r>
      <w:proofErr w:type="gramEnd"/>
      <w:r w:rsidR="001B6263">
        <w:t xml:space="preserve"> should not be greater than 2°C: beyond this, non-linear effects are more likely.</w:t>
      </w:r>
    </w:p>
    <w:p w:rsidR="00213F2B" w:rsidRDefault="00213F2B"/>
    <w:p w:rsidR="00213F2B" w:rsidRDefault="00213F2B">
      <w:r>
        <w:lastRenderedPageBreak/>
        <w:t>This means there is a presumed</w:t>
      </w:r>
      <w:r w:rsidR="0056090B">
        <w:t xml:space="preserve"> ‘linear zone’ within which fai</w:t>
      </w:r>
      <w:r>
        <w:t xml:space="preserve">rly conventional policy measures can be deployed in the hope of slowing warming enough to remain below 2°C, and this is favoured by many governments, including that of the UK. Enlightened official policies are often referred back to the 1986 </w:t>
      </w:r>
      <w:proofErr w:type="spellStart"/>
      <w:r>
        <w:t>Brundtland</w:t>
      </w:r>
      <w:proofErr w:type="spellEnd"/>
      <w:r>
        <w:t xml:space="preserve"> principle</w:t>
      </w:r>
      <w:r w:rsidRPr="00213F2B">
        <w:t xml:space="preserve"> </w:t>
      </w:r>
      <w:r>
        <w:t>of preserving a reasonable intergenerational balance of interests, and the 1992 UNFCCC commitment to avoid ‘dangerous climate change’.</w:t>
      </w:r>
    </w:p>
    <w:p w:rsidR="003475AC" w:rsidRDefault="003475AC"/>
    <w:p w:rsidR="003475AC" w:rsidRDefault="003475AC">
      <w:r>
        <w:t>The other dimension is whether the consequences of climate change can be considered ‘serious’</w:t>
      </w:r>
      <w:r w:rsidR="001B6263">
        <w:t>. This is a very elastic notion. ‘Serio</w:t>
      </w:r>
      <w:r w:rsidR="0056090B">
        <w:t>u</w:t>
      </w:r>
      <w:r w:rsidR="001B6263">
        <w:t>s’ has to be put in a context of unavoidable natural disasters, major wars</w:t>
      </w:r>
      <w:r w:rsidR="00DA2E9E">
        <w:t>,</w:t>
      </w:r>
      <w:r w:rsidR="001B6263">
        <w:t xml:space="preserve"> epidemics</w:t>
      </w:r>
      <w:r w:rsidR="00DA2E9E">
        <w:t>, genocides</w:t>
      </w:r>
      <w:r w:rsidR="001B6263">
        <w:t xml:space="preserve"> and so on. If the ultimate consequences of climate change</w:t>
      </w:r>
      <w:r w:rsidR="00213F2B">
        <w:t xml:space="preserve">, linear or otherwise, </w:t>
      </w:r>
      <w:r w:rsidR="001B6263">
        <w:t>are no worse than this ‘background’, there would be little justification in causing major disruptions to prevent it. Many take this view.</w:t>
      </w:r>
    </w:p>
    <w:p w:rsidR="00DA2E9E" w:rsidRDefault="00DA2E9E"/>
    <w:p w:rsidR="00DA2E9E" w:rsidRDefault="00DA2E9E">
      <w:r>
        <w:t>The course is based on the assumptions that climate change is non-linear and potentially very serious indeed. Only this justifies the kinds of measures d</w:t>
      </w:r>
      <w:r w:rsidR="0056090B">
        <w:t>i</w:t>
      </w:r>
      <w:r>
        <w:t xml:space="preserve">scussed. It should be borne in mind that this is definitely a minority view, and at odds with much conventional policy. It is good o challenge this apparently extreme position and </w:t>
      </w:r>
      <w:proofErr w:type="gramStart"/>
      <w:r>
        <w:t>subject</w:t>
      </w:r>
      <w:proofErr w:type="gramEnd"/>
      <w:r>
        <w:t xml:space="preserve"> it to rigorous evidential test.</w:t>
      </w:r>
    </w:p>
    <w:p w:rsidR="00DA2E9E" w:rsidRDefault="00DA2E9E"/>
    <w:p w:rsidR="00DA2E9E" w:rsidRDefault="008D6BE7">
      <w:r>
        <w:t>Climate policies tend to fall into two important classes. Some are aimed at preventing, slowing</w:t>
      </w:r>
      <w:r w:rsidR="0056090B">
        <w:t>,</w:t>
      </w:r>
      <w:r>
        <w:t xml:space="preserve"> or ‘</w:t>
      </w:r>
      <w:r w:rsidRPr="008D6BE7">
        <w:rPr>
          <w:b/>
        </w:rPr>
        <w:t>mitigating</w:t>
      </w:r>
      <w:r>
        <w:t xml:space="preserve">’ climate change; others are aimed at </w:t>
      </w:r>
      <w:r w:rsidRPr="008D6BE7">
        <w:rPr>
          <w:b/>
        </w:rPr>
        <w:t>adapting</w:t>
      </w:r>
      <w:r>
        <w:t xml:space="preserve"> to its effects. T</w:t>
      </w:r>
      <w:r w:rsidR="00DA2E9E">
        <w:t xml:space="preserve">he </w:t>
      </w:r>
      <w:r>
        <w:t xml:space="preserve">course </w:t>
      </w:r>
      <w:r w:rsidR="00DA2E9E">
        <w:t xml:space="preserve">emphasises </w:t>
      </w:r>
      <w:r>
        <w:t>mitigation</w:t>
      </w:r>
      <w:r w:rsidR="00DA2E9E">
        <w:t xml:space="preserve"> and tends to ignore adaptat</w:t>
      </w:r>
      <w:r>
        <w:t>i</w:t>
      </w:r>
      <w:r w:rsidR="00DA2E9E">
        <w:t>on</w:t>
      </w:r>
      <w:r>
        <w:t xml:space="preserve">, </w:t>
      </w:r>
      <w:r w:rsidR="009E79E7">
        <w:t xml:space="preserve">taking the stark view that </w:t>
      </w:r>
      <w:r w:rsidR="009E79E7" w:rsidRPr="009E79E7">
        <w:rPr>
          <w:i/>
        </w:rPr>
        <w:t>prevention is better than cure because there is no cure</w:t>
      </w:r>
      <w:r w:rsidR="009E79E7">
        <w:t>. In contrast,</w:t>
      </w:r>
      <w:r>
        <w:t xml:space="preserve"> general sentiment and climate policy are shifting towards adaptation, even at the expense of mitigation. The polarisation appears to be deepening.</w:t>
      </w:r>
    </w:p>
    <w:p w:rsidR="00502E9A" w:rsidRDefault="00502E9A"/>
    <w:p w:rsidR="00502E9A" w:rsidRDefault="00502E9A">
      <w:r>
        <w:t xml:space="preserve">In the </w:t>
      </w:r>
      <w:r w:rsidR="0056090B">
        <w:t>contemporary</w:t>
      </w:r>
      <w:r>
        <w:t xml:space="preserve"> context, climate change arises principally from emissions of greenhouse gases (GHGs) and although there are other factors in play, broadly GHG emissions (GHGE) can be taken as a proxy for all anthropogenic influences. They are relatively easy to measure, and it is widely agreed that reduction of GHGE to one degree or another is necessary,</w:t>
      </w:r>
      <w:r w:rsidR="00465243">
        <w:t xml:space="preserve"> perhaps even sufficient, to pre</w:t>
      </w:r>
      <w:r>
        <w:t xml:space="preserve">vent </w:t>
      </w:r>
      <w:r w:rsidR="008D6BE7">
        <w:t xml:space="preserve"> D</w:t>
      </w:r>
      <w:r>
        <w:t xml:space="preserve">angerous </w:t>
      </w:r>
      <w:r w:rsidR="008D6BE7">
        <w:t>C</w:t>
      </w:r>
      <w:r w:rsidR="00465243">
        <w:t>l</w:t>
      </w:r>
      <w:r w:rsidR="008D6BE7">
        <w:t>imate C</w:t>
      </w:r>
      <w:r>
        <w:t>hange.</w:t>
      </w:r>
    </w:p>
    <w:p w:rsidR="00A92629" w:rsidRDefault="00A92629"/>
    <w:p w:rsidR="00A92629" w:rsidRDefault="00A92629">
      <w:r>
        <w:t>The largest GHG effects</w:t>
      </w:r>
      <w:r w:rsidR="00C10896">
        <w:t>, accounting for</w:t>
      </w:r>
      <w:r>
        <w:t xml:space="preserve"> </w:t>
      </w:r>
      <w:r w:rsidR="00C10896">
        <w:t xml:space="preserve">60-70% of the whole, </w:t>
      </w:r>
      <w:r>
        <w:t>are from carbon dioxide derived from burning fossil fuels, mostly for energy</w:t>
      </w:r>
      <w:r w:rsidR="00C10896">
        <w:t xml:space="preserve">. </w:t>
      </w:r>
      <w:r>
        <w:t>Most attention given to mitigation focuses on ‘decarbonising’ energy systems, and it turns out that in technical terms this is relatively straightforward – although the economic and politic</w:t>
      </w:r>
      <w:r w:rsidR="00603F72">
        <w:t>al issues</w:t>
      </w:r>
      <w:r>
        <w:t xml:space="preserve"> are </w:t>
      </w:r>
      <w:r w:rsidR="00603F72">
        <w:t>much more difficult.</w:t>
      </w:r>
    </w:p>
    <w:p w:rsidR="00A92629" w:rsidRDefault="00A92629"/>
    <w:p w:rsidR="00A92629" w:rsidRDefault="00A92629">
      <w:r>
        <w:t>Most of the remaining GHGE arise from food and land use</w:t>
      </w:r>
      <w:r w:rsidR="00603F72">
        <w:t xml:space="preserve">, and here the technical options are far more limited. </w:t>
      </w:r>
      <w:r w:rsidR="00603F72" w:rsidRPr="009E79E7">
        <w:rPr>
          <w:i/>
        </w:rPr>
        <w:t>Actual changes of behaviour, diets</w:t>
      </w:r>
      <w:r w:rsidR="009E79E7" w:rsidRPr="009E79E7">
        <w:rPr>
          <w:i/>
        </w:rPr>
        <w:t xml:space="preserve"> and</w:t>
      </w:r>
      <w:r w:rsidR="00603F72" w:rsidRPr="009E79E7">
        <w:rPr>
          <w:i/>
        </w:rPr>
        <w:t xml:space="preserve"> habits would be required for substantial mitigation, and this means the economic and political barriers are even more severe than in the case of energy</w:t>
      </w:r>
      <w:r w:rsidR="00603F72">
        <w:t>. For this reason the food/land-use systems are commonly ignored as being hopelessly intractable. This course</w:t>
      </w:r>
      <w:r w:rsidR="00833435">
        <w:t>, in contrast,</w:t>
      </w:r>
      <w:r w:rsidR="00603F72">
        <w:t xml:space="preserve"> takes the problem at face value and explores the mitigation options with minimum consideration of social or political factors.</w:t>
      </w:r>
    </w:p>
    <w:p w:rsidR="00603F72" w:rsidRDefault="00603F72"/>
    <w:p w:rsidR="00603F72" w:rsidRDefault="00603F72">
      <w:r>
        <w:t xml:space="preserve">Such an approach might be considered ‘unrealistic’ and in some senses it is. </w:t>
      </w:r>
      <w:r w:rsidR="00C10896">
        <w:t xml:space="preserve">Long experience teaches us however, that as soon as political considerations are allowed </w:t>
      </w:r>
      <w:r w:rsidR="00C10896">
        <w:lastRenderedPageBreak/>
        <w:t>into the debate they quickly take over. The approach here is to follow what m</w:t>
      </w:r>
      <w:r w:rsidR="0056090B">
        <w:t>i</w:t>
      </w:r>
      <w:r w:rsidR="00C10896">
        <w:t xml:space="preserve">ght be called the ‘Canute Principle’ (after the well-known </w:t>
      </w:r>
      <w:r w:rsidR="00833435">
        <w:t xml:space="preserve">littoral </w:t>
      </w:r>
      <w:r w:rsidR="00C10896">
        <w:t>demarche of the 10</w:t>
      </w:r>
      <w:r w:rsidR="00C10896" w:rsidRPr="00C10896">
        <w:rPr>
          <w:vertAlign w:val="superscript"/>
        </w:rPr>
        <w:t>th</w:t>
      </w:r>
      <w:r w:rsidR="00C10896">
        <w:t xml:space="preserve">-century Anglo-Danish king), that ultimately the Laws of Nature outrank the Laws of Humanity. The assumption is that better policy emerges from getting the ‘physics’ right and designing political and economic measures </w:t>
      </w:r>
      <w:r w:rsidR="00465243">
        <w:t xml:space="preserve">later, </w:t>
      </w:r>
      <w:r w:rsidR="00C10896">
        <w:t>around the physical requirements, rather than the other way round, which is the normal approach</w:t>
      </w:r>
      <w:r w:rsidR="0056090B">
        <w:t>.</w:t>
      </w:r>
    </w:p>
    <w:p w:rsidR="00993E1A" w:rsidRDefault="00993E1A"/>
    <w:p w:rsidR="00465243" w:rsidRDefault="00993E1A">
      <w:r>
        <w:t>Such a brutally ‘</w:t>
      </w:r>
      <w:proofErr w:type="spellStart"/>
      <w:r>
        <w:t>physicalist</w:t>
      </w:r>
      <w:proofErr w:type="spellEnd"/>
      <w:r>
        <w:t>’ approach does simplify matters somewhat. The physical requirements are listed and analysed, and a range of physically compliant ‘solutions’ are worked out. Choices can then be made regarding political and economic likelihoods and preferences.</w:t>
      </w:r>
      <w:r w:rsidR="00465243">
        <w:t xml:space="preserve"> </w:t>
      </w:r>
    </w:p>
    <w:p w:rsidR="0077201A" w:rsidRDefault="0077201A"/>
    <w:p w:rsidR="00993E1A" w:rsidRDefault="005531B3">
      <w:r>
        <w:t>This must the true for the world as a whole, but it is supposed in some circles that any difficult changes would not apply to the richer part of humanity, which would be able to buy its way out in terms of payments to others. While this is technically possible and perhaps to some extent unavoidable</w:t>
      </w:r>
      <w:r w:rsidR="00F66A17">
        <w:t>, we make the assumption that each nation would have a requirement to ‘converge’ on common levels of GHGE.</w:t>
      </w:r>
    </w:p>
    <w:p w:rsidR="00F66A17" w:rsidRDefault="00F66A17"/>
    <w:p w:rsidR="00F66A17" w:rsidRDefault="00F66A17">
      <w:r>
        <w:t xml:space="preserve">Such a convergence would probably be necessary to secure the necessary international agreements, and in this course </w:t>
      </w:r>
      <w:r w:rsidR="0056090B">
        <w:t>we assume that the UK embarks o</w:t>
      </w:r>
      <w:r>
        <w:t>n a rapid decarbonisation programme that embraces all major sources of GHG.</w:t>
      </w:r>
    </w:p>
    <w:p w:rsidR="00833435" w:rsidRDefault="00833435"/>
    <w:p w:rsidR="00833435" w:rsidRDefault="00833435">
      <w:r>
        <w:t xml:space="preserve">We might refer here to </w:t>
      </w:r>
      <w:r w:rsidR="0056090B">
        <w:t xml:space="preserve">what might be called </w:t>
      </w:r>
      <w:r>
        <w:t>the Rawls Principle, after the American moral philosopher John Rawls (1921-2002). A paraphrase would be this: you should pick policies as if in ignorance of which part of the global society you happen to be in, or which generation.</w:t>
      </w:r>
    </w:p>
    <w:p w:rsidR="00F66A17" w:rsidRDefault="00F66A17"/>
    <w:p w:rsidR="00F66A17" w:rsidRDefault="00F66A17">
      <w:r>
        <w:t>At th</w:t>
      </w:r>
      <w:r w:rsidR="00A759D8">
        <w:t>i</w:t>
      </w:r>
      <w:r>
        <w:t>s point we must acknowledge that Cl</w:t>
      </w:r>
      <w:r w:rsidR="00A759D8">
        <w:t>i</w:t>
      </w:r>
      <w:r>
        <w:t xml:space="preserve">mate Change is not the only issue of physical sustainability currently faced by humanity. </w:t>
      </w:r>
      <w:proofErr w:type="spellStart"/>
      <w:r>
        <w:t>Rockstrom</w:t>
      </w:r>
      <w:proofErr w:type="spellEnd"/>
      <w:r>
        <w:t xml:space="preserve"> </w:t>
      </w:r>
      <w:r w:rsidRPr="0056090B">
        <w:rPr>
          <w:i/>
        </w:rPr>
        <w:t>et al</w:t>
      </w:r>
      <w:r w:rsidR="0056090B">
        <w:t>. (2010)</w:t>
      </w:r>
      <w:r w:rsidRPr="0056090B">
        <w:t xml:space="preserve"> </w:t>
      </w:r>
      <w:r>
        <w:t>attempted to create a complete tally and suggested</w:t>
      </w:r>
      <w:r w:rsidR="00A759D8">
        <w:t>, in addition to the widely acknowledge 2°C threshold</w:t>
      </w:r>
      <w:r>
        <w:t xml:space="preserve"> </w:t>
      </w:r>
      <w:r w:rsidR="00A759D8">
        <w:t xml:space="preserve">for global warming, </w:t>
      </w:r>
      <w:r>
        <w:t>eight other potentially ‘planetary boundaries’</w:t>
      </w:r>
      <w:r w:rsidR="00A759D8">
        <w:t>. These are important for this course, because at least four of them are closely associated with land use and food production.</w:t>
      </w:r>
    </w:p>
    <w:p w:rsidR="00A759D8" w:rsidRDefault="00A759D8"/>
    <w:p w:rsidR="0077201A" w:rsidRDefault="00A759D8" w:rsidP="0077201A">
      <w:r>
        <w:t xml:space="preserve">Ideally we would like to ‘design’, explore, and promote, policy suites that meet all these physical requirements, and it would appear that there are certain policy clusters that do so. </w:t>
      </w:r>
      <w:r w:rsidR="0077201A">
        <w:t xml:space="preserve"> In this course we focus on these physically realistic solutions.</w:t>
      </w:r>
    </w:p>
    <w:p w:rsidR="0077201A" w:rsidRDefault="0077201A" w:rsidP="0077201A"/>
    <w:p w:rsidR="0077201A" w:rsidRPr="0056090B" w:rsidRDefault="0077201A" w:rsidP="0077201A">
      <w:r>
        <w:t>Of course we run into immediate cultural, political and economic barriers, and a quick glance might prove extremely discouraging. Sinews need to be stiffened here, and I invoke</w:t>
      </w:r>
      <w:r w:rsidR="0056090B">
        <w:t xml:space="preserve"> w</w:t>
      </w:r>
      <w:r w:rsidRPr="0056090B">
        <w:t>hat we might call the ‘</w:t>
      </w:r>
      <w:proofErr w:type="spellStart"/>
      <w:r w:rsidRPr="0056090B">
        <w:t>Lampedusa</w:t>
      </w:r>
      <w:proofErr w:type="spellEnd"/>
      <w:r w:rsidRPr="0056090B">
        <w:t xml:space="preserve"> Principle’, after the core idea of the novel </w:t>
      </w:r>
      <w:r w:rsidRPr="0056090B">
        <w:rPr>
          <w:i/>
        </w:rPr>
        <w:t>The Leopard</w:t>
      </w:r>
      <w:r w:rsidRPr="0056090B">
        <w:t xml:space="preserve"> by Giuseppe di </w:t>
      </w:r>
      <w:proofErr w:type="spellStart"/>
      <w:r w:rsidRPr="0056090B">
        <w:t>Lampedusa</w:t>
      </w:r>
      <w:proofErr w:type="spellEnd"/>
      <w:r w:rsidRPr="0056090B">
        <w:t>. This idea is that ‘everything must change in order for everything to stay the same’.</w:t>
      </w:r>
    </w:p>
    <w:p w:rsidR="0077201A" w:rsidRPr="0056090B" w:rsidRDefault="0077201A" w:rsidP="0077201A"/>
    <w:p w:rsidR="0077201A" w:rsidRDefault="0077201A" w:rsidP="0077201A">
      <w:r w:rsidRPr="0056090B">
        <w:t xml:space="preserve">There are certain core states and values that we wish to preserve, but </w:t>
      </w:r>
      <w:r w:rsidR="0056090B">
        <w:t xml:space="preserve">it appears that </w:t>
      </w:r>
      <w:r w:rsidRPr="0056090B">
        <w:t xml:space="preserve">this cannot be done in a Business As Usual, or even mildly reformist, manner. What would be seen as very substantial changes are necessary to prevent DCC, but in a longer perspective these can be seen as relatively modest, planned changes relative to the unplanned changes that would be forced on most parts of most populations if DCC </w:t>
      </w:r>
      <w:r w:rsidRPr="0056090B">
        <w:lastRenderedPageBreak/>
        <w:t xml:space="preserve">develops in the manner projected by many climate </w:t>
      </w:r>
      <w:proofErr w:type="gramStart"/>
      <w:r w:rsidRPr="0056090B">
        <w:t>scientists.</w:t>
      </w:r>
      <w:proofErr w:type="gramEnd"/>
      <w:r>
        <w:t xml:space="preserve"> </w:t>
      </w:r>
      <w:r w:rsidR="00E20C4F">
        <w:t xml:space="preserve"> The conceptual graph summarises the choices and pathways.</w:t>
      </w:r>
    </w:p>
    <w:p w:rsidR="00E20C4F" w:rsidRDefault="00E20C4F" w:rsidP="0077201A"/>
    <w:p w:rsidR="009E79E7" w:rsidRDefault="00E20C4F" w:rsidP="0077201A">
      <w:r>
        <w:rPr>
          <w:noProof/>
          <w:lang w:eastAsia="en-GB"/>
        </w:rPr>
        <w:drawing>
          <wp:anchor distT="0" distB="0" distL="114300" distR="114300" simplePos="0" relativeHeight="251671552" behindDoc="0" locked="0" layoutInCell="1" allowOverlap="1" wp14:anchorId="20068606" wp14:editId="35505AD7">
            <wp:simplePos x="0" y="0"/>
            <wp:positionH relativeFrom="column">
              <wp:posOffset>-324485</wp:posOffset>
            </wp:positionH>
            <wp:positionV relativeFrom="paragraph">
              <wp:posOffset>40005</wp:posOffset>
            </wp:positionV>
            <wp:extent cx="5494655" cy="33826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4655" cy="3382645"/>
                    </a:xfrm>
                    <a:prstGeom prst="rect">
                      <a:avLst/>
                    </a:prstGeom>
                    <a:noFill/>
                  </pic:spPr>
                </pic:pic>
              </a:graphicData>
            </a:graphic>
            <wp14:sizeRelH relativeFrom="page">
              <wp14:pctWidth>0</wp14:pctWidth>
            </wp14:sizeRelH>
            <wp14:sizeRelV relativeFrom="page">
              <wp14:pctHeight>0</wp14:pctHeight>
            </wp14:sizeRelV>
          </wp:anchor>
        </w:drawing>
      </w:r>
    </w:p>
    <w:p w:rsidR="0077201A" w:rsidRDefault="0077201A" w:rsidP="0077201A">
      <w:r>
        <w:t>To summarise the above argument: we can see</w:t>
      </w:r>
      <w:r w:rsidR="00AE6DD7">
        <w:t xml:space="preserve"> a range of physically-possible solutions to the problems we face at a global scale, and we can see how these might be translated into physically realistic national programmes. We need to concentrate on these and not be distracted by non-physical difficulties. Nature trumps politics, not the other way round.</w:t>
      </w:r>
    </w:p>
    <w:p w:rsidR="00E20C4F" w:rsidRDefault="00E20C4F" w:rsidP="0077201A"/>
    <w:p w:rsidR="00AE6DD7" w:rsidRDefault="00AE6DD7" w:rsidP="0077201A">
      <w:r>
        <w:t>An outline of the physical requirements is as follows:</w:t>
      </w:r>
    </w:p>
    <w:p w:rsidR="00AE6DD7" w:rsidRDefault="00AE6DD7" w:rsidP="00E20C4F">
      <w:pPr>
        <w:pStyle w:val="ListParagraph"/>
        <w:numPr>
          <w:ilvl w:val="0"/>
          <w:numId w:val="4"/>
        </w:numPr>
      </w:pPr>
      <w:r>
        <w:t>Major reorganisation of energy systems with much lower carbon intensities. Rapid phase-out of fossil fuels.</w:t>
      </w:r>
    </w:p>
    <w:p w:rsidR="00E20C4F" w:rsidRDefault="00AE6DD7" w:rsidP="00E20C4F">
      <w:pPr>
        <w:pStyle w:val="ListParagraph"/>
        <w:numPr>
          <w:ilvl w:val="0"/>
          <w:numId w:val="4"/>
        </w:numPr>
      </w:pPr>
      <w:r>
        <w:t xml:space="preserve">Major reorganisation of land use and food systems. Much lower levels of livestock. </w:t>
      </w:r>
    </w:p>
    <w:p w:rsidR="00AE6DD7" w:rsidRDefault="00AE6DD7" w:rsidP="00E20C4F">
      <w:pPr>
        <w:pStyle w:val="ListParagraph"/>
        <w:numPr>
          <w:ilvl w:val="0"/>
          <w:numId w:val="4"/>
        </w:numPr>
      </w:pPr>
      <w:proofErr w:type="spellStart"/>
      <w:r>
        <w:t>Replanning</w:t>
      </w:r>
      <w:proofErr w:type="spellEnd"/>
      <w:r>
        <w:t xml:space="preserve"> land use for energy, carbon sequestration and biodiversity.</w:t>
      </w:r>
    </w:p>
    <w:p w:rsidR="00AE6DD7" w:rsidRDefault="00AE6DD7" w:rsidP="00E20C4F">
      <w:pPr>
        <w:pStyle w:val="ListParagraph"/>
        <w:numPr>
          <w:ilvl w:val="0"/>
          <w:numId w:val="4"/>
        </w:numPr>
      </w:pPr>
      <w:r>
        <w:t>Massive research programmes relevant to the above and to geoengineering processes.</w:t>
      </w:r>
    </w:p>
    <w:p w:rsidR="00AE6DD7" w:rsidRDefault="00AE6DD7" w:rsidP="0077201A"/>
    <w:p w:rsidR="00AE6DD7" w:rsidRDefault="00AE6DD7" w:rsidP="0077201A">
      <w:bookmarkStart w:id="0" w:name="_GoBack"/>
      <w:bookmarkEnd w:id="0"/>
    </w:p>
    <w:p w:rsidR="00CB5A3C" w:rsidRDefault="00CB5A3C">
      <w:r>
        <w:br w:type="page"/>
      </w:r>
    </w:p>
    <w:p w:rsidR="00CB5A3C" w:rsidRDefault="00CB5A3C" w:rsidP="0077201A">
      <w:r>
        <w:lastRenderedPageBreak/>
        <w:t>LECTURE 2</w:t>
      </w:r>
    </w:p>
    <w:p w:rsidR="00CB5A3C" w:rsidRDefault="00CB5A3C" w:rsidP="0077201A">
      <w:r>
        <w:t>LOW-CARBON FOOD SYSTEMS</w:t>
      </w:r>
    </w:p>
    <w:p w:rsidR="00AA06EE" w:rsidRDefault="00AA06EE" w:rsidP="0077201A"/>
    <w:p w:rsidR="00170C24" w:rsidRDefault="00225578" w:rsidP="0077201A">
      <w:r>
        <w:t>In terms of its effects on GHGE, t</w:t>
      </w:r>
      <w:r w:rsidR="00170C24">
        <w:t xml:space="preserve">he food system is different from most other sectors of a modern economy in that its emissions are partly unrelated to energy, and are more difficult to mitigate without changes of customary preferences.  </w:t>
      </w:r>
    </w:p>
    <w:p w:rsidR="00170C24" w:rsidRDefault="00170C24" w:rsidP="0077201A"/>
    <w:p w:rsidR="00AA06EE" w:rsidRDefault="00AA06EE" w:rsidP="0077201A">
      <w:r>
        <w:t>Although this lecture focuses on GHGE, it is worth reminding ourselves at the outset that ‘carbon’ is not the only problem. A sustainable food system for (say) the UK</w:t>
      </w:r>
      <w:r w:rsidR="00950C83">
        <w:t xml:space="preserve"> must also provide an adequate and healthy supply, comply with all ‘planetary boundary’ constraints, and do so without prejudice to the needs of other populations.</w:t>
      </w:r>
      <w:r w:rsidR="00975BB0">
        <w:t xml:space="preserve"> These matters will be dealt with in other lectures.</w:t>
      </w:r>
    </w:p>
    <w:p w:rsidR="00800FC6" w:rsidRDefault="00800FC6" w:rsidP="0077201A"/>
    <w:p w:rsidR="00800FC6" w:rsidRDefault="00800FC6" w:rsidP="0077201A">
      <w:r>
        <w:t>INSERT</w:t>
      </w:r>
    </w:p>
    <w:p w:rsidR="00800FC6" w:rsidRDefault="00800FC6" w:rsidP="0077201A">
      <w:r>
        <w:t>History of food and farming; evolutionary hungers; modern diets</w:t>
      </w:r>
    </w:p>
    <w:p w:rsidR="00AA06EE" w:rsidRDefault="00AA06EE" w:rsidP="0077201A"/>
    <w:p w:rsidR="00AA06EE" w:rsidRDefault="00AA06EE" w:rsidP="0077201A">
      <w:r>
        <w:rPr>
          <w:noProof/>
          <w:lang w:eastAsia="en-GB"/>
        </w:rPr>
        <w:drawing>
          <wp:anchor distT="0" distB="0" distL="114300" distR="114300" simplePos="0" relativeHeight="251659264" behindDoc="0" locked="0" layoutInCell="1" allowOverlap="1" wp14:anchorId="5865329A" wp14:editId="3D531C6E">
            <wp:simplePos x="0" y="0"/>
            <wp:positionH relativeFrom="column">
              <wp:posOffset>2200275</wp:posOffset>
            </wp:positionH>
            <wp:positionV relativeFrom="paragraph">
              <wp:posOffset>55245</wp:posOffset>
            </wp:positionV>
            <wp:extent cx="3140075" cy="1731010"/>
            <wp:effectExtent l="0" t="0" r="22225" b="2159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t xml:space="preserve">The situation in the world as a whole is too diffuse, so the lecture concentrates on the UK, generalising later to the global level. Very broadly, </w:t>
      </w:r>
      <w:r w:rsidR="00950C83">
        <w:t xml:space="preserve">UK food </w:t>
      </w:r>
      <w:r>
        <w:t>emissions break down as shown in the pie chart.</w:t>
      </w:r>
    </w:p>
    <w:p w:rsidR="00950C83" w:rsidRDefault="00950C83" w:rsidP="0077201A"/>
    <w:p w:rsidR="00950C83" w:rsidRDefault="00170C24" w:rsidP="0077201A">
      <w:r>
        <w:rPr>
          <w:noProof/>
          <w:lang w:eastAsia="en-GB"/>
        </w:rPr>
        <w:drawing>
          <wp:anchor distT="0" distB="0" distL="114300" distR="114300" simplePos="0" relativeHeight="251661312" behindDoc="0" locked="0" layoutInCell="1" allowOverlap="1" wp14:anchorId="1CBCC64A" wp14:editId="110FBE82">
            <wp:simplePos x="0" y="0"/>
            <wp:positionH relativeFrom="column">
              <wp:posOffset>2243455</wp:posOffset>
            </wp:positionH>
            <wp:positionV relativeFrom="paragraph">
              <wp:posOffset>1486535</wp:posOffset>
            </wp:positionV>
            <wp:extent cx="3545205" cy="2207895"/>
            <wp:effectExtent l="0" t="0" r="17145" b="2095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950C83">
        <w:t xml:space="preserve">The emissions due to imports are substantial, dealt with later. The rest of the chart shows the largest sector as UK agriculture, and we consider this the ‘pre-farm-gate’ collection of emissions, mostly nitrous oxide and methane. After the farm gate, emissions from </w:t>
      </w:r>
      <w:r>
        <w:t>transport, processing, packaging, storage and consumption amount to almost as much, but are nearly all energy-related, and it is assumed these emissions can be reduced almost to zero by a variety of technical measures described in ZCB3</w:t>
      </w:r>
      <w:r w:rsidR="00975BB0">
        <w:t>, and largely outside the scope of this course</w:t>
      </w:r>
      <w:r>
        <w:t>.</w:t>
      </w:r>
    </w:p>
    <w:p w:rsidR="00170C24" w:rsidRDefault="00170C24" w:rsidP="0077201A"/>
    <w:p w:rsidR="00170C24" w:rsidRDefault="00170C24" w:rsidP="00170C24">
      <w:pPr>
        <w:rPr>
          <w:noProof/>
          <w:lang w:eastAsia="en-GB"/>
        </w:rPr>
      </w:pPr>
      <w:r>
        <w:rPr>
          <w:noProof/>
          <w:lang w:eastAsia="en-GB"/>
        </w:rPr>
        <w:t>The approach adopted to the other emissions categories is a systematic shift of balance from high-emitting to low-emitting foods, and this inevitably entails a change in the pattern of UK diets. The same approach also reduces emissions from imports. The result is shown in the diagram.</w:t>
      </w:r>
      <w:r w:rsidRPr="002E7A39">
        <w:rPr>
          <w:noProof/>
          <w:lang w:eastAsia="en-GB"/>
        </w:rPr>
        <w:t xml:space="preserve"> </w:t>
      </w:r>
    </w:p>
    <w:p w:rsidR="00D83245" w:rsidRDefault="00D83245" w:rsidP="00170C24">
      <w:pPr>
        <w:rPr>
          <w:noProof/>
          <w:lang w:eastAsia="en-GB"/>
        </w:rPr>
      </w:pPr>
    </w:p>
    <w:p w:rsidR="00D83245" w:rsidRDefault="00D83245" w:rsidP="00170C24">
      <w:pPr>
        <w:rPr>
          <w:noProof/>
          <w:lang w:eastAsia="en-GB"/>
        </w:rPr>
      </w:pPr>
      <w:r>
        <w:rPr>
          <w:noProof/>
          <w:lang w:eastAsia="en-GB"/>
        </w:rPr>
        <w:t xml:space="preserve">This suggests that an overall reduction of 90% is </w:t>
      </w:r>
      <w:r w:rsidR="00225578">
        <w:rPr>
          <w:noProof/>
          <w:lang w:eastAsia="en-GB"/>
        </w:rPr>
        <w:t xml:space="preserve">physically </w:t>
      </w:r>
      <w:r>
        <w:rPr>
          <w:noProof/>
          <w:lang w:eastAsia="en-GB"/>
        </w:rPr>
        <w:t xml:space="preserve">possible. The key is in substantial reductions of livestock, and particularly grazing livestock. </w:t>
      </w:r>
      <w:r w:rsidR="009771B3">
        <w:rPr>
          <w:noProof/>
          <w:lang w:eastAsia="en-GB"/>
        </w:rPr>
        <w:t>The logic of this process is summarised in the bar chart: that the output of the livestock sector is notably low, and its emissions notably high</w:t>
      </w:r>
    </w:p>
    <w:p w:rsidR="00D83245" w:rsidRDefault="00D83245" w:rsidP="00170C24">
      <w:pPr>
        <w:rPr>
          <w:noProof/>
          <w:lang w:eastAsia="en-GB"/>
        </w:rPr>
      </w:pPr>
    </w:p>
    <w:p w:rsidR="00D83245" w:rsidRDefault="00D83245" w:rsidP="00170C24">
      <w:pPr>
        <w:rPr>
          <w:noProof/>
          <w:lang w:eastAsia="en-GB"/>
        </w:rPr>
      </w:pPr>
      <w:r>
        <w:rPr>
          <w:noProof/>
          <w:lang w:eastAsia="en-GB"/>
        </w:rPr>
        <w:lastRenderedPageBreak/>
        <w:t>Of course there are enormous political, social and other problems associated with this step, but application of the Lampedusa principle suggests it is actually the most cost-effective measure, and a key that unlocks many other resources. The details are discussed.</w:t>
      </w:r>
    </w:p>
    <w:p w:rsidR="0008173E" w:rsidRDefault="0008173E" w:rsidP="00170C24">
      <w:pPr>
        <w:rPr>
          <w:noProof/>
          <w:lang w:eastAsia="en-GB"/>
        </w:rPr>
      </w:pPr>
    </w:p>
    <w:p w:rsidR="00D83245" w:rsidRDefault="00800FC6" w:rsidP="0077201A">
      <w:r w:rsidRPr="00E95440">
        <w:rPr>
          <w:noProof/>
          <w:sz w:val="22"/>
          <w:szCs w:val="22"/>
          <w:lang w:eastAsia="en-GB"/>
        </w:rPr>
        <mc:AlternateContent>
          <mc:Choice Requires="wps">
            <w:drawing>
              <wp:anchor distT="0" distB="0" distL="114300" distR="114300" simplePos="0" relativeHeight="251670528" behindDoc="0" locked="0" layoutInCell="0" allowOverlap="1" wp14:anchorId="7D0B80CA" wp14:editId="3D58C117">
                <wp:simplePos x="0" y="0"/>
                <wp:positionH relativeFrom="page">
                  <wp:posOffset>737235</wp:posOffset>
                </wp:positionH>
                <wp:positionV relativeFrom="margin">
                  <wp:posOffset>1056005</wp:posOffset>
                </wp:positionV>
                <wp:extent cx="1828800" cy="7950835"/>
                <wp:effectExtent l="57150" t="38100" r="76200" b="9588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tbl>
                            <w:tblPr>
                              <w:tblW w:w="3166" w:type="dxa"/>
                              <w:tblInd w:w="108" w:type="dxa"/>
                              <w:tblLook w:val="04A0" w:firstRow="1" w:lastRow="0" w:firstColumn="1" w:lastColumn="0" w:noHBand="0" w:noVBand="1"/>
                            </w:tblPr>
                            <w:tblGrid>
                              <w:gridCol w:w="3166"/>
                            </w:tblGrid>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Pasta</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Rice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cereals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White bread</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Wholemeal bread</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Soft grain (White)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bread (Brown)</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High fibre breakfast cereals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breakfast cereals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Oven baked potato products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potatoes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jc w:val="right"/>
                                    <w:rPr>
                                      <w:rFonts w:ascii="Calibri" w:eastAsia="Times New Roman" w:hAnsi="Calibri"/>
                                      <w:color w:val="000000"/>
                                      <w:sz w:val="14"/>
                                      <w:szCs w:val="20"/>
                                      <w:lang w:eastAsia="en-GB"/>
                                    </w:rPr>
                                  </w:pP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Greenhouse-grown salads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UK - grown fresh salads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Seasonal UK vegetables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Imported vegetables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Seasonal UK fruit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Imported fruit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Fruit juice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Whole milk (3.8% fat)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Semi skimmed milk (1.8% fat)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Skimmed milk</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Cheddar cheese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Other cheeses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Yoghurt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proofErr w:type="spellStart"/>
                                  <w:r w:rsidRPr="00E95440">
                                    <w:rPr>
                                      <w:rFonts w:ascii="Calibri" w:eastAsia="Times New Roman" w:hAnsi="Calibri"/>
                                      <w:color w:val="000000"/>
                                      <w:sz w:val="14"/>
                                      <w:szCs w:val="20"/>
                                      <w:lang w:eastAsia="en-GB"/>
                                    </w:rPr>
                                    <w:t>Fromage</w:t>
                                  </w:r>
                                  <w:proofErr w:type="spellEnd"/>
                                  <w:r w:rsidRPr="00E95440">
                                    <w:rPr>
                                      <w:rFonts w:ascii="Calibri" w:eastAsia="Times New Roman" w:hAnsi="Calibri"/>
                                      <w:color w:val="000000"/>
                                      <w:sz w:val="14"/>
                                      <w:szCs w:val="20"/>
                                      <w:lang w:eastAsia="en-GB"/>
                                    </w:rPr>
                                    <w:t xml:space="preserve"> </w:t>
                                  </w:r>
                                  <w:proofErr w:type="spellStart"/>
                                  <w:r w:rsidRPr="00E95440">
                                    <w:rPr>
                                      <w:rFonts w:ascii="Calibri" w:eastAsia="Times New Roman" w:hAnsi="Calibri"/>
                                      <w:color w:val="000000"/>
                                      <w:sz w:val="14"/>
                                      <w:szCs w:val="20"/>
                                      <w:lang w:eastAsia="en-GB"/>
                                    </w:rPr>
                                    <w:t>frais</w:t>
                                  </w:r>
                                  <w:proofErr w:type="spellEnd"/>
                                  <w:r w:rsidRPr="00E95440">
                                    <w:rPr>
                                      <w:rFonts w:ascii="Calibri" w:eastAsia="Times New Roman" w:hAnsi="Calibri"/>
                                      <w:color w:val="000000"/>
                                      <w:sz w:val="14"/>
                                      <w:szCs w:val="20"/>
                                      <w:lang w:eastAsia="en-GB"/>
                                    </w:rPr>
                                    <w:t xml:space="preserve"> and dairy based desserts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Non-dairy milk-like products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Eggs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Egg dishes</w:t>
                                  </w:r>
                                </w:p>
                              </w:tc>
                            </w:tr>
                            <w:tr w:rsidR="00800FC6" w:rsidRPr="00E95440" w:rsidTr="00800FC6">
                              <w:trPr>
                                <w:trHeight w:val="7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Beef, veal and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Lamb and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Pork and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Bacon and ham</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Sausages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Chicken, turkey and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Coated chicken and turkey</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Liver and liver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Burgers and kebabs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Meat pies and pastries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Other meat (game, offal, </w:t>
                                  </w:r>
                                  <w:proofErr w:type="spellStart"/>
                                  <w:r w:rsidRPr="00E95440">
                                    <w:rPr>
                                      <w:rFonts w:ascii="Calibri" w:eastAsia="Times New Roman" w:hAnsi="Calibri"/>
                                      <w:color w:val="000000"/>
                                      <w:sz w:val="14"/>
                                      <w:szCs w:val="20"/>
                                      <w:lang w:eastAsia="en-GB"/>
                                    </w:rPr>
                                    <w:t>etc</w:t>
                                  </w:r>
                                  <w:proofErr w:type="spellEnd"/>
                                  <w:r w:rsidRPr="00E95440">
                                    <w:rPr>
                                      <w:rFonts w:ascii="Calibri" w:eastAsia="Times New Roman" w:hAnsi="Calibri"/>
                                      <w:color w:val="000000"/>
                                      <w:sz w:val="14"/>
                                      <w:szCs w:val="20"/>
                                      <w:lang w:eastAsia="en-GB"/>
                                    </w:rPr>
                                    <w: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White fish  including fish fingers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white fish and canned tuna</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Shellfish</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Oily fish</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Meat alternatives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Beans and legumes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Nuts and seeds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Biscuits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Buns, cakes, pastries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Puddings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Dairy Ice cream</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Cream</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Butter</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Margarine and other fats and oils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Savoury snacks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Savoury sauces, pickles, condiments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Soups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Fried or roast potatoes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Sugars, and preserves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Sugar confectionery</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Chocolate confectionery</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Soft drinks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Spirits and liqueurs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Wine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Beer, lager, cider and </w:t>
                                  </w:r>
                                  <w:proofErr w:type="spellStart"/>
                                  <w:r w:rsidRPr="00E95440">
                                    <w:rPr>
                                      <w:rFonts w:ascii="Calibri" w:eastAsia="Times New Roman" w:hAnsi="Calibri"/>
                                      <w:color w:val="000000"/>
                                      <w:sz w:val="14"/>
                                      <w:szCs w:val="20"/>
                                      <w:lang w:eastAsia="en-GB"/>
                                    </w:rPr>
                                    <w:t>perry</w:t>
                                  </w:r>
                                  <w:proofErr w:type="spellEnd"/>
                                </w:p>
                              </w:tc>
                            </w:tr>
                          </w:tbl>
                          <w:p w:rsidR="00800FC6" w:rsidRDefault="00800FC6" w:rsidP="00800F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Description: Narrow horizontal" style="position:absolute;margin-left:58.05pt;margin-top:83.15pt;width:2in;height:626.05pt;z-index:251670528;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tbl>
                      <w:tblPr>
                        <w:tblW w:w="3166" w:type="dxa"/>
                        <w:tblInd w:w="108" w:type="dxa"/>
                        <w:tblLook w:val="04A0" w:firstRow="1" w:lastRow="0" w:firstColumn="1" w:lastColumn="0" w:noHBand="0" w:noVBand="1"/>
                      </w:tblPr>
                      <w:tblGrid>
                        <w:gridCol w:w="3166"/>
                      </w:tblGrid>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Pasta</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Rice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cereals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White bread</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Wholemeal bread</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Soft grain (White)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bread (Brown)</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High fibre breakfast cereals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breakfast cereals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Oven baked potato products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potatoes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jc w:val="right"/>
                              <w:rPr>
                                <w:rFonts w:ascii="Calibri" w:eastAsia="Times New Roman" w:hAnsi="Calibri"/>
                                <w:color w:val="000000"/>
                                <w:sz w:val="14"/>
                                <w:szCs w:val="20"/>
                                <w:lang w:eastAsia="en-GB"/>
                              </w:rPr>
                            </w:pP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Greenhouse-grown salads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UK - grown fresh salads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Seasonal UK vegetables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Imported vegetables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Seasonal UK fruit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Imported fruit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Fruit juice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Whole milk (3.8% fat)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Semi skimmed milk (1.8% fat)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Skimmed milk</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Cheddar cheese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Other cheeses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Yoghurt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proofErr w:type="spellStart"/>
                            <w:r w:rsidRPr="00E95440">
                              <w:rPr>
                                <w:rFonts w:ascii="Calibri" w:eastAsia="Times New Roman" w:hAnsi="Calibri"/>
                                <w:color w:val="000000"/>
                                <w:sz w:val="14"/>
                                <w:szCs w:val="20"/>
                                <w:lang w:eastAsia="en-GB"/>
                              </w:rPr>
                              <w:t>Fromage</w:t>
                            </w:r>
                            <w:proofErr w:type="spellEnd"/>
                            <w:r w:rsidRPr="00E95440">
                              <w:rPr>
                                <w:rFonts w:ascii="Calibri" w:eastAsia="Times New Roman" w:hAnsi="Calibri"/>
                                <w:color w:val="000000"/>
                                <w:sz w:val="14"/>
                                <w:szCs w:val="20"/>
                                <w:lang w:eastAsia="en-GB"/>
                              </w:rPr>
                              <w:t xml:space="preserve"> </w:t>
                            </w:r>
                            <w:proofErr w:type="spellStart"/>
                            <w:r w:rsidRPr="00E95440">
                              <w:rPr>
                                <w:rFonts w:ascii="Calibri" w:eastAsia="Times New Roman" w:hAnsi="Calibri"/>
                                <w:color w:val="000000"/>
                                <w:sz w:val="14"/>
                                <w:szCs w:val="20"/>
                                <w:lang w:eastAsia="en-GB"/>
                              </w:rPr>
                              <w:t>frais</w:t>
                            </w:r>
                            <w:proofErr w:type="spellEnd"/>
                            <w:r w:rsidRPr="00E95440">
                              <w:rPr>
                                <w:rFonts w:ascii="Calibri" w:eastAsia="Times New Roman" w:hAnsi="Calibri"/>
                                <w:color w:val="000000"/>
                                <w:sz w:val="14"/>
                                <w:szCs w:val="20"/>
                                <w:lang w:eastAsia="en-GB"/>
                              </w:rPr>
                              <w:t xml:space="preserve"> and dairy based desserts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Non-dairy milk-like products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Eggs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Egg dishes</w:t>
                            </w:r>
                          </w:p>
                        </w:tc>
                      </w:tr>
                      <w:tr w:rsidR="00800FC6" w:rsidRPr="00E95440" w:rsidTr="00800FC6">
                        <w:trPr>
                          <w:trHeight w:val="7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Beef, veal and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Lamb and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Pork and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Bacon and ham</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Sausages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Chicken, turkey and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Coated chicken and turkey</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Liver and liver dishes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Burgers and kebabs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Meat pies and pastries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Other meat (game, offal, </w:t>
                            </w:r>
                            <w:proofErr w:type="spellStart"/>
                            <w:r w:rsidRPr="00E95440">
                              <w:rPr>
                                <w:rFonts w:ascii="Calibri" w:eastAsia="Times New Roman" w:hAnsi="Calibri"/>
                                <w:color w:val="000000"/>
                                <w:sz w:val="14"/>
                                <w:szCs w:val="20"/>
                                <w:lang w:eastAsia="en-GB"/>
                              </w:rPr>
                              <w:t>etc</w:t>
                            </w:r>
                            <w:proofErr w:type="spellEnd"/>
                            <w:r w:rsidRPr="00E95440">
                              <w:rPr>
                                <w:rFonts w:ascii="Calibri" w:eastAsia="Times New Roman" w:hAnsi="Calibri"/>
                                <w:color w:val="000000"/>
                                <w:sz w:val="14"/>
                                <w:szCs w:val="20"/>
                                <w:lang w:eastAsia="en-GB"/>
                              </w:rPr>
                              <w:t>)</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White fish  including fish fingers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Other white fish and canned tuna</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Shellfish</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Oily fish</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Meat alternatives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Beans and legumes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Nuts and seeds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Biscuits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Buns, cakes, pastries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Puddings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Dairy Ice cream</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Cream</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Butter</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Margarine and other fats and oils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Savoury snacks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Savoury sauces, pickles, condiments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Soups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Fried or roast potatoes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Sugars, and preserves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Sugar confectionery</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Chocolate confectionery</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Soft drinks </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Spirits and liqueurs</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Wine</w:t>
                            </w:r>
                          </w:p>
                        </w:tc>
                      </w:tr>
                      <w:tr w:rsidR="00800FC6" w:rsidRPr="00E95440" w:rsidTr="00E95440">
                        <w:trPr>
                          <w:trHeight w:val="144"/>
                        </w:trPr>
                        <w:tc>
                          <w:tcPr>
                            <w:tcW w:w="3166" w:type="dxa"/>
                            <w:tcBorders>
                              <w:top w:val="nil"/>
                              <w:left w:val="nil"/>
                              <w:bottom w:val="nil"/>
                              <w:right w:val="nil"/>
                            </w:tcBorders>
                            <w:shd w:val="clear" w:color="auto" w:fill="auto"/>
                            <w:noWrap/>
                            <w:vAlign w:val="bottom"/>
                            <w:hideMark/>
                          </w:tcPr>
                          <w:p w:rsidR="00800FC6" w:rsidRPr="00E95440" w:rsidRDefault="00800FC6" w:rsidP="00E95440">
                            <w:pPr>
                              <w:rPr>
                                <w:rFonts w:ascii="Calibri" w:eastAsia="Times New Roman" w:hAnsi="Calibri"/>
                                <w:color w:val="000000"/>
                                <w:sz w:val="14"/>
                                <w:szCs w:val="20"/>
                                <w:lang w:eastAsia="en-GB"/>
                              </w:rPr>
                            </w:pPr>
                            <w:r w:rsidRPr="00E95440">
                              <w:rPr>
                                <w:rFonts w:ascii="Calibri" w:eastAsia="Times New Roman" w:hAnsi="Calibri"/>
                                <w:color w:val="000000"/>
                                <w:sz w:val="14"/>
                                <w:szCs w:val="20"/>
                                <w:lang w:eastAsia="en-GB"/>
                              </w:rPr>
                              <w:t xml:space="preserve">Beer, lager, cider and </w:t>
                            </w:r>
                            <w:proofErr w:type="spellStart"/>
                            <w:r w:rsidRPr="00E95440">
                              <w:rPr>
                                <w:rFonts w:ascii="Calibri" w:eastAsia="Times New Roman" w:hAnsi="Calibri"/>
                                <w:color w:val="000000"/>
                                <w:sz w:val="14"/>
                                <w:szCs w:val="20"/>
                                <w:lang w:eastAsia="en-GB"/>
                              </w:rPr>
                              <w:t>perry</w:t>
                            </w:r>
                            <w:proofErr w:type="spellEnd"/>
                          </w:p>
                        </w:tc>
                      </w:tr>
                    </w:tbl>
                    <w:p w:rsidR="00800FC6" w:rsidRDefault="00800FC6" w:rsidP="00800F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txbxContent>
                </v:textbox>
                <w10:wrap type="square" anchorx="page" anchory="margin"/>
              </v:shape>
            </w:pict>
          </mc:Fallback>
        </mc:AlternateContent>
      </w:r>
      <w:r w:rsidR="009771B3" w:rsidRPr="009771B3">
        <w:rPr>
          <w:noProof/>
          <w:color w:val="BFBFBF" w:themeColor="background1" w:themeShade="BF"/>
          <w:lang w:eastAsia="en-GB"/>
        </w:rPr>
        <w:drawing>
          <wp:inline distT="0" distB="0" distL="0" distR="0" wp14:anchorId="384AB6C3" wp14:editId="25522704">
            <wp:extent cx="4772025" cy="40481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A06EE" w:rsidRDefault="00AA06EE" w:rsidP="0077201A"/>
    <w:p w:rsidR="00F10AF9" w:rsidRDefault="0008173E" w:rsidP="0077201A">
      <w:r>
        <w:t>The lecture discusses the GHGE values of contemporary diets, as opposed to the ‘idealised’ scenario diet. In looking at contemporary food practices it turns out there are ‘packages’ with two principal components. One component is the actual choice of ingredients, and this relates largely to production emissions before the farm gate; the other consists largely of ‘food behaviours’, and this relates mostly to emissions after the farm gate</w:t>
      </w:r>
      <w:r w:rsidR="00206AC1">
        <w:t>.</w:t>
      </w:r>
    </w:p>
    <w:p w:rsidR="00CB5A3C" w:rsidRDefault="00CB5A3C" w:rsidP="0077201A"/>
    <w:p w:rsidR="00206AC1" w:rsidRDefault="00206AC1" w:rsidP="0077201A">
      <w:r>
        <w:t>Diets in the strict sense of food category choices make a considerable difference to personal and household GHGE.</w:t>
      </w:r>
      <w:r w:rsidR="00914119">
        <w:t xml:space="preserve"> The average UK person’s food generates about 2.4 tonnes CO2e per year. Eating substantially more meat and dairy products can easily push this beyond 3. Eating the same quantity of organic produce does not appear to make a great deal of difference in carbon terms, but this is a contested area.</w:t>
      </w:r>
    </w:p>
    <w:p w:rsidR="00914119" w:rsidRDefault="00914119" w:rsidP="0077201A"/>
    <w:p w:rsidR="00800FC6" w:rsidRDefault="00800FC6" w:rsidP="0077201A"/>
    <w:p w:rsidR="00C203CC" w:rsidRDefault="00914119" w:rsidP="0077201A">
      <w:r>
        <w:t xml:space="preserve">Eating less meat and dairy lowers the emissions score, but there are many variations. We modelled what we called </w:t>
      </w:r>
      <w:r>
        <w:lastRenderedPageBreak/>
        <w:t xml:space="preserve">‘substitute vegetarianism’ where meat is replaced by an equal quantity of dairy and eggs. This makes a difference, but not a dramatic one. </w:t>
      </w:r>
      <w:r w:rsidR="00C203CC">
        <w:t>Typical</w:t>
      </w:r>
      <w:r>
        <w:t xml:space="preserve"> vegans h</w:t>
      </w:r>
      <w:r w:rsidR="00C203CC">
        <w:t>a</w:t>
      </w:r>
      <w:r>
        <w:t>d</w:t>
      </w:r>
      <w:r w:rsidR="00C203CC">
        <w:t xml:space="preserve"> scores around 1.2 tCO2e, similar to ‘light lacto-vegetarians’.</w:t>
      </w:r>
    </w:p>
    <w:p w:rsidR="00C203CC" w:rsidRDefault="00C203CC" w:rsidP="0077201A"/>
    <w:p w:rsidR="00C203CC" w:rsidRDefault="00C203CC" w:rsidP="0077201A">
      <w:r>
        <w:t xml:space="preserve">Behavioural choices can make a considerable difference. Eating 30% more than average (as many do) increases emissions by more or less the same amount; and given that the average person eats too much, </w:t>
      </w:r>
      <w:proofErr w:type="spellStart"/>
      <w:r>
        <w:t>emissioins</w:t>
      </w:r>
      <w:proofErr w:type="spellEnd"/>
      <w:r>
        <w:t xml:space="preserve"> can be reduced </w:t>
      </w:r>
      <w:proofErr w:type="spellStart"/>
      <w:r>
        <w:t>simplky</w:t>
      </w:r>
      <w:proofErr w:type="spellEnd"/>
      <w:r>
        <w:t xml:space="preserve"> by eating less. We found that </w:t>
      </w:r>
      <w:r w:rsidR="00BE625C">
        <w:t>‘junk-food’ vegans living off highly-processed foods were not as good as typical vegans. Meanwhile the</w:t>
      </w:r>
      <w:r>
        <w:t xml:space="preserve"> ‘carbon minimiser’ can get as low as a </w:t>
      </w:r>
      <w:r w:rsidR="00BE625C">
        <w:t xml:space="preserve">standard </w:t>
      </w:r>
      <w:r>
        <w:t>vegan without any ‘taboos’ simply by intensive knowledge of which foods to consume in what quantities.</w:t>
      </w:r>
    </w:p>
    <w:p w:rsidR="00C203CC" w:rsidRDefault="00C203CC" w:rsidP="0077201A"/>
    <w:p w:rsidR="00914119" w:rsidRDefault="00C203CC" w:rsidP="0077201A">
      <w:r>
        <w:t>The lowest plausible case, at around 0.7 tCO2e, was a</w:t>
      </w:r>
      <w:r w:rsidR="00BE625C">
        <w:t xml:space="preserve"> hypothetical</w:t>
      </w:r>
      <w:r>
        <w:t xml:space="preserve"> individual we called the ‘best behaviour</w:t>
      </w:r>
      <w:r w:rsidR="00BE625C">
        <w:t xml:space="preserve"> minimiser’. This </w:t>
      </w:r>
      <w:r w:rsidR="00225578">
        <w:t xml:space="preserve">idealised </w:t>
      </w:r>
      <w:r w:rsidR="00BE625C">
        <w:t xml:space="preserve">person made choices similar to the carbon minimiser, but also ate less, fetched food by </w:t>
      </w:r>
      <w:r w:rsidR="00225578">
        <w:t xml:space="preserve">walking or </w:t>
      </w:r>
      <w:r w:rsidR="00BE625C">
        <w:t xml:space="preserve">bicycle, maximised local produce where effective, prepared most meals from raw ingredients, </w:t>
      </w:r>
      <w:r w:rsidR="00225578">
        <w:t xml:space="preserve">used efficient appliances, at a lot of raw food, </w:t>
      </w:r>
      <w:r w:rsidR="00BE625C">
        <w:t>and grew a high proportion of their own fruit and vegetables.</w:t>
      </w:r>
    </w:p>
    <w:p w:rsidR="007E7B9B" w:rsidRDefault="007E7B9B" w:rsidP="0077201A"/>
    <w:p w:rsidR="007E7B9B" w:rsidRDefault="007E7B9B" w:rsidP="0077201A">
      <w:r>
        <w:t>The actual value of ‘good behaviour’ has not been seriously investigated or quantified. Perhaps we can make a start.</w:t>
      </w:r>
    </w:p>
    <w:p w:rsidR="00BE625C" w:rsidRDefault="00BE625C">
      <w:r>
        <w:br w:type="page"/>
      </w:r>
    </w:p>
    <w:p w:rsidR="00CB5A3C" w:rsidRDefault="00BE625C" w:rsidP="0077201A">
      <w:r>
        <w:lastRenderedPageBreak/>
        <w:t>LECTURE 3</w:t>
      </w:r>
    </w:p>
    <w:p w:rsidR="00BE625C" w:rsidRDefault="00BE625C" w:rsidP="0077201A">
      <w:r>
        <w:t>DIETARY QUALITY AND HEALTH</w:t>
      </w:r>
    </w:p>
    <w:p w:rsidR="00986D6E" w:rsidRDefault="00986D6E" w:rsidP="0077201A"/>
    <w:p w:rsidR="00986D6E" w:rsidRDefault="00986D6E" w:rsidP="0077201A">
      <w:r>
        <w:t>It is one thing to design diets with low emissions, but can you actually live on them? Are they, in principle at least, healthy diets?</w:t>
      </w:r>
    </w:p>
    <w:p w:rsidR="00422EA1" w:rsidRDefault="00422EA1" w:rsidP="0077201A"/>
    <w:p w:rsidR="00422EA1" w:rsidRDefault="00422EA1" w:rsidP="0077201A">
      <w:r>
        <w:t>We approached this question in two ways. One was simply to examine various recommendations for dietary health and see if there was broad consistency with the low-low-carbon diets. The other was to subject individual components of various diets to ‘health scores’ and add them up.</w:t>
      </w:r>
    </w:p>
    <w:p w:rsidR="00422EA1" w:rsidRDefault="00422EA1" w:rsidP="0077201A"/>
    <w:p w:rsidR="00422EA1" w:rsidRDefault="00422EA1" w:rsidP="0077201A">
      <w:r>
        <w:t>Starting with the most general picture, it is obvious that dietary health is an enormously contested area, not least on account of powerful commercial interests, but also government concern for public health</w:t>
      </w:r>
      <w:r w:rsidR="00225578">
        <w:t>,</w:t>
      </w:r>
      <w:r>
        <w:t xml:space="preserve"> and</w:t>
      </w:r>
      <w:r w:rsidR="00225578">
        <w:t xml:space="preserve"> various</w:t>
      </w:r>
      <w:r>
        <w:t xml:space="preserve"> ‘ideological’ points of view.</w:t>
      </w:r>
    </w:p>
    <w:p w:rsidR="00422EA1" w:rsidRDefault="00422EA1" w:rsidP="0077201A"/>
    <w:p w:rsidR="00422EA1" w:rsidRDefault="00422EA1" w:rsidP="0077201A">
      <w:r>
        <w:t>Looking at diets across the world</w:t>
      </w:r>
      <w:r w:rsidR="008F08CA">
        <w:t xml:space="preserve"> it is clear that an enormous range of possibilities are </w:t>
      </w:r>
      <w:proofErr w:type="spellStart"/>
      <w:r w:rsidR="008F08CA">
        <w:t>conmpatible</w:t>
      </w:r>
      <w:proofErr w:type="spellEnd"/>
      <w:r w:rsidR="008F08CA">
        <w:t xml:space="preserve"> with excellent health, certainly when combined with traditional ways of life</w:t>
      </w:r>
      <w:r w:rsidR="00A07F95">
        <w:t xml:space="preserve">. </w:t>
      </w:r>
      <w:r w:rsidR="00225578">
        <w:t>They range from virtually all-meat diets to entirely ‘vegan’.  As societies modernise and most people are separated from direct food production, f</w:t>
      </w:r>
      <w:r w:rsidR="00A07F95">
        <w:t>ood</w:t>
      </w:r>
      <w:r w:rsidR="008F08CA">
        <w:t xml:space="preserve"> available for the lower classes </w:t>
      </w:r>
      <w:r w:rsidR="00225578">
        <w:t>is often poor, but impro</w:t>
      </w:r>
      <w:r w:rsidR="008F08CA">
        <w:t>ves</w:t>
      </w:r>
      <w:r w:rsidR="00225578">
        <w:t xml:space="preserve"> over the generations</w:t>
      </w:r>
      <w:r w:rsidR="008F08CA">
        <w:t xml:space="preserve">. At the same time industrialisation of food does not </w:t>
      </w:r>
      <w:r w:rsidR="00C0053D">
        <w:t xml:space="preserve">fully </w:t>
      </w:r>
      <w:r w:rsidR="008F08CA">
        <w:t xml:space="preserve">optimise health, and </w:t>
      </w:r>
      <w:r w:rsidR="00C0053D">
        <w:t>contributes</w:t>
      </w:r>
      <w:r w:rsidR="008F08CA">
        <w:t xml:space="preserve"> </w:t>
      </w:r>
      <w:proofErr w:type="gramStart"/>
      <w:r w:rsidR="008F08CA">
        <w:t>to</w:t>
      </w:r>
      <w:proofErr w:type="gramEnd"/>
      <w:r w:rsidR="008F08CA">
        <w:t xml:space="preserve"> many of the so-called ‘diseases of civilisation’.</w:t>
      </w:r>
    </w:p>
    <w:p w:rsidR="008F08CA" w:rsidRDefault="008F08CA" w:rsidP="0077201A"/>
    <w:p w:rsidR="008F08CA" w:rsidRDefault="008F08CA" w:rsidP="0077201A">
      <w:r>
        <w:t>In the past several decades, attempts have been made to devise simple guidelines for healthy eating, and many become the subject of public health campaigns, such as ‘Five a Day’.</w:t>
      </w:r>
      <w:r w:rsidR="005D4DB2">
        <w:t xml:space="preserve">  In general these guidelines are </w:t>
      </w:r>
      <w:r w:rsidR="00C0053D">
        <w:t>compromises</w:t>
      </w:r>
      <w:r w:rsidR="005D4DB2">
        <w:t xml:space="preserve"> between actual best practice and typical diets, and are designed to ‘nudge’ people in the right direction</w:t>
      </w:r>
      <w:r w:rsidR="00C0053D">
        <w:t xml:space="preserve"> without ‘frightening the horse’</w:t>
      </w:r>
      <w:r w:rsidR="005D4DB2">
        <w:t xml:space="preserve">. The </w:t>
      </w:r>
      <w:r w:rsidR="00C0053D">
        <w:t xml:space="preserve">full </w:t>
      </w:r>
      <w:r w:rsidR="005D4DB2">
        <w:t xml:space="preserve">bald truth would </w:t>
      </w:r>
      <w:r w:rsidR="00C0053D">
        <w:t xml:space="preserve">probably </w:t>
      </w:r>
      <w:r w:rsidR="005D4DB2">
        <w:t xml:space="preserve">send </w:t>
      </w:r>
      <w:r w:rsidR="00C0053D">
        <w:t>many</w:t>
      </w:r>
      <w:r w:rsidR="005D4DB2">
        <w:t xml:space="preserve"> screaming in the opposite direction</w:t>
      </w:r>
      <w:r w:rsidR="00C0053D">
        <w:t>!</w:t>
      </w:r>
    </w:p>
    <w:p w:rsidR="008F08CA" w:rsidRDefault="008F08CA" w:rsidP="0077201A"/>
    <w:p w:rsidR="00C0053D" w:rsidRDefault="00C0053D" w:rsidP="0077201A">
      <w:r>
        <w:t>We’ll look at three approaches</w:t>
      </w:r>
      <w:r w:rsidR="008F08CA">
        <w:t>: Food Pyramids</w:t>
      </w:r>
      <w:r>
        <w:t>;</w:t>
      </w:r>
      <w:r w:rsidR="008F08CA">
        <w:t xml:space="preserve"> the noti</w:t>
      </w:r>
      <w:r w:rsidR="00915528">
        <w:t>o</w:t>
      </w:r>
      <w:r w:rsidR="008F08CA">
        <w:t>n of ‘balance’ between different kinds of foods</w:t>
      </w:r>
      <w:r>
        <w:t>; and Nutritional Profiling</w:t>
      </w:r>
      <w:r w:rsidR="008F08CA">
        <w:t>.</w:t>
      </w:r>
      <w:r w:rsidR="00915528">
        <w:t xml:space="preserve"> </w:t>
      </w:r>
    </w:p>
    <w:p w:rsidR="00C0053D" w:rsidRDefault="00C0053D" w:rsidP="0077201A"/>
    <w:p w:rsidR="008F08CA" w:rsidRDefault="00915528" w:rsidP="0077201A">
      <w:r>
        <w:t xml:space="preserve">‘Pyramids’ are based on the </w:t>
      </w:r>
      <w:r w:rsidR="00C0053D">
        <w:t xml:space="preserve">sensible </w:t>
      </w:r>
      <w:r>
        <w:t>idea that some foods should be consumed in greater quantity than others, and a pyramid</w:t>
      </w:r>
      <w:r w:rsidR="00C0053D">
        <w:t>al diagram</w:t>
      </w:r>
      <w:r>
        <w:t xml:space="preserve"> with layers of equal thickness will reflect this.</w:t>
      </w:r>
    </w:p>
    <w:p w:rsidR="00915528" w:rsidRDefault="00915528" w:rsidP="0077201A"/>
    <w:p w:rsidR="00915528" w:rsidRDefault="00915528" w:rsidP="0077201A">
      <w:r>
        <w:t>The first pyramid system was based on a large volume of epidemiological research by the Harvard School of Public Health in the 19</w:t>
      </w:r>
      <w:r w:rsidR="000E67A7">
        <w:t>90</w:t>
      </w:r>
      <w:r>
        <w:t xml:space="preserve">s.  The results came as a substantial challenge to </w:t>
      </w:r>
      <w:r w:rsidR="00C0053D">
        <w:t>consumers</w:t>
      </w:r>
      <w:proofErr w:type="gramStart"/>
      <w:r w:rsidR="00C0053D">
        <w:t xml:space="preserve">, </w:t>
      </w:r>
      <w:r>
        <w:t xml:space="preserve"> government</w:t>
      </w:r>
      <w:proofErr w:type="gramEnd"/>
      <w:r>
        <w:t xml:space="preserve"> and food industry</w:t>
      </w:r>
      <w:r w:rsidR="00C0053D">
        <w:t xml:space="preserve"> alike</w:t>
      </w:r>
      <w:r>
        <w:t>. The base of the pyramid (eat lots) was ‘complex carbohydrates’ in contrast to pure sugars and starches, which were relegated to the top layer (eat sparingly). Whole gra</w:t>
      </w:r>
      <w:r w:rsidR="00C0053D">
        <w:t>ins and cereals were emphasised, exactly what we had all been moving away from.</w:t>
      </w:r>
    </w:p>
    <w:p w:rsidR="00C0053D" w:rsidRDefault="00C0053D" w:rsidP="0077201A"/>
    <w:p w:rsidR="00915528" w:rsidRDefault="00915528" w:rsidP="0077201A">
      <w:r>
        <w:t>The next layer up was fruit and vegetables, and above this</w:t>
      </w:r>
      <w:r w:rsidR="000E67A7">
        <w:t xml:space="preserve"> the livestock products, plus nuts and other high-protein foods. At the top were fatty and sugary foods (“junk food”), drugs and alcohol.</w:t>
      </w:r>
    </w:p>
    <w:p w:rsidR="00F600AE" w:rsidRDefault="00F600AE" w:rsidP="0077201A"/>
    <w:p w:rsidR="00F600AE" w:rsidRDefault="00F600AE" w:rsidP="0077201A">
      <w:r>
        <w:rPr>
          <w:noProof/>
          <w:lang w:eastAsia="en-GB"/>
        </w:rPr>
        <w:lastRenderedPageBreak/>
        <w:drawing>
          <wp:inline distT="0" distB="0" distL="0" distR="0" wp14:anchorId="5BAF8590" wp14:editId="77A3DF98">
            <wp:extent cx="3634624" cy="21621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453" t="21233" r="6872" b="13505"/>
                    <a:stretch/>
                  </pic:blipFill>
                  <pic:spPr bwMode="auto">
                    <a:xfrm>
                      <a:off x="0" y="0"/>
                      <a:ext cx="3640061" cy="2165409"/>
                    </a:xfrm>
                    <a:prstGeom prst="rect">
                      <a:avLst/>
                    </a:prstGeom>
                    <a:ln>
                      <a:noFill/>
                    </a:ln>
                    <a:extLst>
                      <a:ext uri="{53640926-AAD7-44D8-BBD7-CCE9431645EC}">
                        <a14:shadowObscured xmlns:a14="http://schemas.microsoft.com/office/drawing/2010/main"/>
                      </a:ext>
                    </a:extLst>
                  </pic:spPr>
                </pic:pic>
              </a:graphicData>
            </a:graphic>
          </wp:inline>
        </w:drawing>
      </w:r>
    </w:p>
    <w:p w:rsidR="000E67A7" w:rsidRDefault="000E67A7" w:rsidP="0077201A"/>
    <w:p w:rsidR="000E67A7" w:rsidRDefault="000E67A7" w:rsidP="0077201A">
      <w:r>
        <w:t>Subsequently there have been many variations on this theme</w:t>
      </w:r>
      <w:r w:rsidR="00F600AE">
        <w:t>, and a fairly typical one is shown</w:t>
      </w:r>
      <w:r>
        <w:t>. Sometimes the vegetables reach the bottom; sometimes the meat reaches the top. Inevitably the results are contested by commercial interests and adjusted by public health bodies trying to find a message that will be both acceptable and effective.</w:t>
      </w:r>
      <w:r w:rsidR="005D4DB2">
        <w:t xml:space="preserve"> But the general consensus is that the basic diet should be built around complex carbohydrates and (ideally fresh) fruit and vegetables, with modest additions of high-protein and high-fat foods, and ‘naughty treats’.</w:t>
      </w:r>
    </w:p>
    <w:p w:rsidR="005D4DB2" w:rsidRDefault="005D4DB2" w:rsidP="0077201A"/>
    <w:p w:rsidR="005D4DB2" w:rsidRDefault="005D4DB2" w:rsidP="0077201A">
      <w:r>
        <w:t xml:space="preserve">This agrees broadly with the ‘balance </w:t>
      </w:r>
      <w:proofErr w:type="gramStart"/>
      <w:r>
        <w:t>idea, that</w:t>
      </w:r>
      <w:proofErr w:type="gramEnd"/>
      <w:r>
        <w:t xml:space="preserve"> divides a circular plate into segments like a pie chart. A principal example is the ‘</w:t>
      </w:r>
      <w:proofErr w:type="spellStart"/>
      <w:r w:rsidR="00F600AE">
        <w:t>eatwell</w:t>
      </w:r>
      <w:proofErr w:type="spellEnd"/>
      <w:r>
        <w:t xml:space="preserve"> plate’.</w:t>
      </w:r>
    </w:p>
    <w:p w:rsidR="00303F72" w:rsidRDefault="00303F72" w:rsidP="0077201A"/>
    <w:p w:rsidR="008F08CA" w:rsidRDefault="00303F72" w:rsidP="0077201A">
      <w:r w:rsidRPr="00303F72">
        <w:object w:dxaOrig="1786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95pt;height:290.7pt" o:ole="">
            <v:imagedata r:id="rId11" o:title=""/>
          </v:shape>
          <o:OLEObject Type="Embed" ProgID="AcroExch.Document.7" ShapeID="_x0000_i1025" DrawAspect="Content" ObjectID="_1461919512" r:id="rId12"/>
        </w:object>
      </w:r>
    </w:p>
    <w:p w:rsidR="008F08CA" w:rsidRDefault="008F08CA" w:rsidP="0077201A">
      <w:r>
        <w:t xml:space="preserve"> </w:t>
      </w:r>
    </w:p>
    <w:p w:rsidR="00F600AE" w:rsidRDefault="00F600AE" w:rsidP="0077201A">
      <w:r>
        <w:t xml:space="preserve">You can see that this agrees substantially with the pyramid notion of a diet based around grains and </w:t>
      </w:r>
      <w:proofErr w:type="spellStart"/>
      <w:r>
        <w:t>vegatbles</w:t>
      </w:r>
      <w:proofErr w:type="spellEnd"/>
      <w:r>
        <w:t>, plus livestock products and small quantities of sugary and fatty ‘treats’.</w:t>
      </w:r>
    </w:p>
    <w:p w:rsidR="007603E8" w:rsidRDefault="007603E8" w:rsidP="0077201A"/>
    <w:p w:rsidR="007603E8" w:rsidRDefault="007603E8" w:rsidP="0077201A">
      <w:r>
        <w:lastRenderedPageBreak/>
        <w:t>In the UK such ‘plates’ are designed around typical British diets and preferences, and need to be interpreted in this light. Although livestock products are strongly featured, they are not strictly necessary. It would make more sense to reduce the plate to only four segments, as Laura Blake has done in ZCB3. So we have a partition somewhat reminiscent of a CND symbol:</w:t>
      </w:r>
      <w:r w:rsidR="00E16BEB" w:rsidRPr="00E16BEB">
        <w:rPr>
          <w:noProof/>
          <w:lang w:eastAsia="en-GB"/>
        </w:rPr>
        <w:t xml:space="preserve"> </w:t>
      </w:r>
      <w:r w:rsidR="00E16BEB" w:rsidRPr="003A4C28">
        <w:rPr>
          <w:noProof/>
          <w:lang w:eastAsia="en-GB"/>
        </w:rPr>
        <w:drawing>
          <wp:inline distT="0" distB="0" distL="0" distR="0" wp14:anchorId="64C5B4D7" wp14:editId="0FB7883B">
            <wp:extent cx="3502325" cy="1966823"/>
            <wp:effectExtent l="0" t="0" r="22225"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03E8" w:rsidRDefault="007603E8" w:rsidP="0077201A"/>
    <w:p w:rsidR="007603E8" w:rsidRDefault="00B569F0" w:rsidP="0077201A">
      <w:r>
        <w:t>Nutritionists also recommend definite limits on certain kinds of foods, such as a maximum of 70 g a day for red meat</w:t>
      </w:r>
      <w:r w:rsidR="00FF58B0">
        <w:t>.</w:t>
      </w:r>
      <w:r w:rsidR="00C0053D">
        <w:t xml:space="preserve"> It would not be healthy to eat all your protein section as beef.</w:t>
      </w:r>
    </w:p>
    <w:p w:rsidR="00FF58B0" w:rsidRDefault="00FF58B0" w:rsidP="0077201A"/>
    <w:p w:rsidR="00FF58B0" w:rsidRDefault="00D6608B" w:rsidP="0077201A">
      <w:r>
        <w:t>One of the problems</w:t>
      </w:r>
      <w:r w:rsidR="00C0053D">
        <w:t xml:space="preserve"> with the ‘plate’ approach</w:t>
      </w:r>
      <w:r>
        <w:t xml:space="preserve"> is that the categories overlap. There is lots of protein in some grains and vegetables; oil in many grains</w:t>
      </w:r>
      <w:r w:rsidR="00A07F95">
        <w:t>; energ</w:t>
      </w:r>
      <w:r w:rsidR="003D2941">
        <w:t>y in proteins. Could there be a</w:t>
      </w:r>
      <w:r w:rsidR="00A07F95">
        <w:t xml:space="preserve">n even simpler system? </w:t>
      </w:r>
      <w:r w:rsidR="00FF58B0">
        <w:t xml:space="preserve">  Colin </w:t>
      </w:r>
      <w:proofErr w:type="spellStart"/>
      <w:r w:rsidR="00FF58B0">
        <w:t>Tudge</w:t>
      </w:r>
      <w:proofErr w:type="spellEnd"/>
      <w:r w:rsidR="004B1271">
        <w:t xml:space="preserve"> boiled his recommendations down to nine words:</w:t>
      </w:r>
    </w:p>
    <w:p w:rsidR="004B1271" w:rsidRDefault="004B1271" w:rsidP="0077201A">
      <w:proofErr w:type="gramStart"/>
      <w:r w:rsidRPr="00C0053D">
        <w:rPr>
          <w:b/>
        </w:rPr>
        <w:t>Plenty of plants, not much meat, and maximum variety</w:t>
      </w:r>
      <w:r>
        <w:t>.</w:t>
      </w:r>
      <w:proofErr w:type="gramEnd"/>
    </w:p>
    <w:p w:rsidR="004B1271" w:rsidRDefault="004B1271" w:rsidP="0077201A"/>
    <w:p w:rsidR="004B1271" w:rsidRDefault="004B1271" w:rsidP="0077201A">
      <w:r>
        <w:t xml:space="preserve">This could be </w:t>
      </w:r>
      <w:r w:rsidR="00C0053D">
        <w:t>paraphrased as</w:t>
      </w:r>
      <w:r>
        <w:t>: base your diet on fruit and vegetables as much as you can, with as wide a variety as you can manage</w:t>
      </w:r>
      <w:r w:rsidR="00D6608B">
        <w:t xml:space="preserve"> (to include peas and beans, fermented materials such as miso and yeast extract</w:t>
      </w:r>
      <w:r>
        <w:t>,</w:t>
      </w:r>
      <w:r w:rsidR="00D6608B">
        <w:t xml:space="preserve"> fungi, seaweeds</w:t>
      </w:r>
      <w:r w:rsidR="00A07F95">
        <w:t>, nuts and seeds)</w:t>
      </w:r>
      <w:r>
        <w:t xml:space="preserve"> and eat other ‘wholefoods’ that take your fancy. If you are short of energy, hunger will lead you to eat more grains. With reasonable variety it is almost impossible not to get enough protein: there is plenty in most whole grains. There is also oil in many whole grains.</w:t>
      </w:r>
      <w:r w:rsidR="00D6608B">
        <w:t xml:space="preserve"> So possibly the pie could be reduced to </w:t>
      </w:r>
      <w:r w:rsidR="003D2941">
        <w:t xml:space="preserve">just </w:t>
      </w:r>
      <w:r w:rsidR="00D6608B">
        <w:t>two components, 60% vegetables and fruits (say 40 different kinds), and 40% whole grains (say 15 different kinds)</w:t>
      </w:r>
      <w:r w:rsidR="003D2941">
        <w:t>, but the ‘rule’ would be even simpler: Live on fruit and vegetables, and if you are hungry top up with whole grains</w:t>
      </w:r>
      <w:r w:rsidR="00D6608B">
        <w:t>.</w:t>
      </w:r>
      <w:r w:rsidR="003D2941">
        <w:t xml:space="preserve">  Your search is not for balance, but for variety.</w:t>
      </w:r>
    </w:p>
    <w:p w:rsidR="00D6608B" w:rsidRDefault="00D6608B" w:rsidP="0077201A"/>
    <w:p w:rsidR="00D6608B" w:rsidRDefault="00E16BEB" w:rsidP="0077201A">
      <w:r>
        <w:rPr>
          <w:noProof/>
          <w:lang w:eastAsia="en-GB"/>
        </w:rPr>
        <w:drawing>
          <wp:anchor distT="0" distB="0" distL="114300" distR="114300" simplePos="0" relativeHeight="251665408" behindDoc="0" locked="0" layoutInCell="1" allowOverlap="1" wp14:anchorId="0EF1F709" wp14:editId="739EBF33">
            <wp:simplePos x="0" y="0"/>
            <wp:positionH relativeFrom="column">
              <wp:posOffset>2635250</wp:posOffset>
            </wp:positionH>
            <wp:positionV relativeFrom="paragraph">
              <wp:posOffset>484505</wp:posOffset>
            </wp:positionV>
            <wp:extent cx="2846705" cy="1716405"/>
            <wp:effectExtent l="0" t="0" r="10795" b="1714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D6608B">
        <w:t>But admittedly this seems</w:t>
      </w:r>
      <w:r w:rsidR="003D2941">
        <w:t xml:space="preserve"> a</w:t>
      </w:r>
      <w:r w:rsidR="00D6608B">
        <w:t xml:space="preserve"> little severe</w:t>
      </w:r>
      <w:r w:rsidR="00A07F95">
        <w:t>, and stretche</w:t>
      </w:r>
      <w:r w:rsidR="003D2941">
        <w:t>s</w:t>
      </w:r>
      <w:r w:rsidR="00A07F95">
        <w:t xml:space="preserve"> the definition of vegetables</w:t>
      </w:r>
      <w:r w:rsidR="003D2941">
        <w:t>!</w:t>
      </w:r>
      <w:r w:rsidR="00D6608B">
        <w:t xml:space="preserve">  A more realistic suggestion would be to allow </w:t>
      </w:r>
      <w:r w:rsidR="00A07F95">
        <w:t>1</w:t>
      </w:r>
      <w:r w:rsidR="00D6608B">
        <w:t>0% ‘rich foods’ that would include another dimension of variety:</w:t>
      </w:r>
    </w:p>
    <w:p w:rsidR="00A07F95" w:rsidRDefault="00D6608B" w:rsidP="0077201A">
      <w:r>
        <w:t>Pulses and protein extracts like</w:t>
      </w:r>
      <w:r w:rsidR="00A07F95">
        <w:t xml:space="preserve"> tofu</w:t>
      </w:r>
      <w:r w:rsidR="003D2941">
        <w:t xml:space="preserve">, and pastes like </w:t>
      </w:r>
      <w:proofErr w:type="spellStart"/>
      <w:r w:rsidR="003D2941">
        <w:t>hoummous</w:t>
      </w:r>
      <w:proofErr w:type="spellEnd"/>
    </w:p>
    <w:p w:rsidR="00A07F95" w:rsidRDefault="00A07F95" w:rsidP="0077201A">
      <w:r>
        <w:t>Nuts and seeds</w:t>
      </w:r>
    </w:p>
    <w:p w:rsidR="00A07F95" w:rsidRDefault="00A07F95" w:rsidP="0077201A">
      <w:r>
        <w:t>Fungi</w:t>
      </w:r>
    </w:p>
    <w:p w:rsidR="00A07F95" w:rsidRDefault="00A07F95" w:rsidP="0077201A">
      <w:r>
        <w:t>Seaweed</w:t>
      </w:r>
    </w:p>
    <w:p w:rsidR="00A07F95" w:rsidRDefault="00A07F95" w:rsidP="0077201A">
      <w:r>
        <w:t>Fermented materials</w:t>
      </w:r>
    </w:p>
    <w:p w:rsidR="00A07F95" w:rsidRDefault="00A07F95" w:rsidP="0077201A">
      <w:r>
        <w:t>Oils and fats</w:t>
      </w:r>
    </w:p>
    <w:p w:rsidR="003D2941" w:rsidRDefault="00A07F95" w:rsidP="003D2941">
      <w:r>
        <w:t>Sugar, refined flours</w:t>
      </w:r>
      <w:r w:rsidR="003D2941" w:rsidRPr="003D2941">
        <w:t xml:space="preserve"> </w:t>
      </w:r>
    </w:p>
    <w:p w:rsidR="00C94776" w:rsidRDefault="00C94776" w:rsidP="003D2941">
      <w:r>
        <w:t>Alcohol</w:t>
      </w:r>
    </w:p>
    <w:p w:rsidR="00C94776" w:rsidRDefault="00C94776" w:rsidP="003D2941">
      <w:r>
        <w:lastRenderedPageBreak/>
        <w:t>Tea, coffee, chocolate</w:t>
      </w:r>
    </w:p>
    <w:p w:rsidR="003D2941" w:rsidRDefault="003D2941" w:rsidP="003D2941">
      <w:r>
        <w:t>…and of course</w:t>
      </w:r>
    </w:p>
    <w:p w:rsidR="003D2941" w:rsidRDefault="003D2941" w:rsidP="003D2941">
      <w:r>
        <w:t>Meat and dairy products</w:t>
      </w:r>
    </w:p>
    <w:p w:rsidR="003D2941" w:rsidRDefault="003D2941" w:rsidP="003D2941">
      <w:r>
        <w:t>Eggs</w:t>
      </w:r>
    </w:p>
    <w:p w:rsidR="00C0053D" w:rsidRDefault="00C0053D" w:rsidP="003D2941">
      <w:r>
        <w:t>Fish, seafood</w:t>
      </w:r>
    </w:p>
    <w:p w:rsidR="00A07F95" w:rsidRDefault="00A07F95" w:rsidP="0077201A"/>
    <w:p w:rsidR="00D6608B" w:rsidRDefault="00D6608B" w:rsidP="0077201A">
      <w:r>
        <w:t xml:space="preserve"> </w:t>
      </w:r>
    </w:p>
    <w:p w:rsidR="00C94776" w:rsidRDefault="00C94776" w:rsidP="0077201A"/>
    <w:p w:rsidR="00C94776" w:rsidRDefault="00C94776" w:rsidP="0077201A"/>
    <w:p w:rsidR="00C94776" w:rsidRDefault="00C94776" w:rsidP="0077201A"/>
    <w:p w:rsidR="007603E8" w:rsidRDefault="00EE7869" w:rsidP="0077201A">
      <w:r>
        <w:t>Yet another system of assessing food health is Nutrient Profiling. There are all manner of systems, but essentially they allocate a ‘health score’ to individual foods or commodities. The scores can be added up to assess the relative ‘healthiness’ of different diets.</w:t>
      </w:r>
    </w:p>
    <w:p w:rsidR="00EE7869" w:rsidRDefault="00EE7869" w:rsidP="0077201A"/>
    <w:p w:rsidR="00EE7869" w:rsidRDefault="00EE7869" w:rsidP="0077201A">
      <w:r>
        <w:t xml:space="preserve">Laura Blake adapted a system based on one developed by the Food Standards Agency, and we have been able to characterise a wide range of diets by mixing and matching different food classes. This allows us to combine GHGE scores with health scores for a range of diets, and plot them as a </w:t>
      </w:r>
      <w:proofErr w:type="spellStart"/>
      <w:r>
        <w:t>scattergram</w:t>
      </w:r>
      <w:proofErr w:type="spellEnd"/>
      <w:r>
        <w:t xml:space="preserve"> in a kind of Carbon/Health space.</w:t>
      </w:r>
    </w:p>
    <w:p w:rsidR="00EE7869" w:rsidRDefault="00EE7869" w:rsidP="0077201A">
      <w:r>
        <w:rPr>
          <w:noProof/>
          <w:lang w:eastAsia="en-GB"/>
        </w:rPr>
        <w:drawing>
          <wp:anchor distT="0" distB="0" distL="114300" distR="114300" simplePos="0" relativeHeight="251664384" behindDoc="0" locked="0" layoutInCell="1" allowOverlap="1" wp14:anchorId="2C1A0ACE" wp14:editId="7E1D3D4D">
            <wp:simplePos x="0" y="0"/>
            <wp:positionH relativeFrom="column">
              <wp:posOffset>599440</wp:posOffset>
            </wp:positionH>
            <wp:positionV relativeFrom="paragraph">
              <wp:posOffset>6985</wp:posOffset>
            </wp:positionV>
            <wp:extent cx="5048250" cy="3048000"/>
            <wp:effectExtent l="0" t="0" r="19050" b="1905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E7869" w:rsidRDefault="00EE7869" w:rsidP="0077201A"/>
    <w:p w:rsidR="00BE625C" w:rsidRDefault="00BE625C" w:rsidP="0077201A"/>
    <w:p w:rsidR="00BE625C" w:rsidRDefault="00BE625C" w:rsidP="0077201A"/>
    <w:p w:rsidR="00AE6DD7" w:rsidRDefault="00AE6DD7" w:rsidP="0077201A"/>
    <w:p w:rsidR="00AE6DD7" w:rsidRDefault="00AE6DD7" w:rsidP="0077201A"/>
    <w:p w:rsidR="00A759D8" w:rsidRDefault="00A759D8"/>
    <w:p w:rsidR="00EE7869" w:rsidRDefault="00EE7869"/>
    <w:p w:rsidR="00EE7869" w:rsidRDefault="00EE7869"/>
    <w:p w:rsidR="00EE7869" w:rsidRDefault="00EE7869"/>
    <w:p w:rsidR="00EE7869" w:rsidRDefault="00EE7869"/>
    <w:p w:rsidR="00EE7869" w:rsidRDefault="00EE7869"/>
    <w:p w:rsidR="00EE7869" w:rsidRDefault="00EE7869"/>
    <w:p w:rsidR="00EE7869" w:rsidRDefault="00EE7869"/>
    <w:p w:rsidR="00EE7869" w:rsidRDefault="00EE7869"/>
    <w:p w:rsidR="00EE7869" w:rsidRDefault="00EE7869"/>
    <w:p w:rsidR="00EE7869" w:rsidRDefault="00EE7869"/>
    <w:p w:rsidR="00EE7869" w:rsidRDefault="00EE7869"/>
    <w:p w:rsidR="00EE7869" w:rsidRDefault="00EE7869"/>
    <w:p w:rsidR="00EE7869" w:rsidRDefault="00EE7869">
      <w:r>
        <w:t xml:space="preserve">Some of these diets have been discussed before in terms of their carbon </w:t>
      </w:r>
      <w:proofErr w:type="spellStart"/>
      <w:r>
        <w:t>emissons</w:t>
      </w:r>
      <w:proofErr w:type="spellEnd"/>
      <w:r>
        <w:t xml:space="preserve"> (vertical axis). Here they are also plotted on the horizontal ‘health’ axis, with poorer diets a left, better diets at right.  It is fairly clear that, on the assumptions made, there is a negative correlation between emissions and health</w:t>
      </w:r>
      <w:r w:rsidR="00557B0D">
        <w:t>: with some exceptions, the lower-carbon diets are also healthier.</w:t>
      </w:r>
      <w:r>
        <w:t xml:space="preserve"> </w:t>
      </w:r>
    </w:p>
    <w:p w:rsidR="00A35445" w:rsidRDefault="00A35445"/>
    <w:p w:rsidR="00A35445" w:rsidRDefault="00A35445">
      <w:r>
        <w:t xml:space="preserve">Exceptions include the ‘substitute vegetarian’ that essentially consumes as large a quantity of livestock products as the average, but in the form of milk, cheese and eggs. The ‘junk food vegan’, living on not much more than </w:t>
      </w:r>
      <w:proofErr w:type="spellStart"/>
      <w:r>
        <w:t>coca-cola</w:t>
      </w:r>
      <w:proofErr w:type="spellEnd"/>
      <w:r>
        <w:t xml:space="preserve"> and crisps (there are such) can suffer from extremely poor health, for obvious reasons. </w:t>
      </w:r>
    </w:p>
    <w:p w:rsidR="00A35445" w:rsidRDefault="00A35445"/>
    <w:p w:rsidR="00A35445" w:rsidRDefault="00A35445">
      <w:r>
        <w:lastRenderedPageBreak/>
        <w:t xml:space="preserve">All diets were adequate in terms of energy and protein, except one, which we called the ‘gorilla diet’. Essentially this </w:t>
      </w:r>
      <w:proofErr w:type="spellStart"/>
      <w:r>
        <w:t>coinsisted</w:t>
      </w:r>
      <w:proofErr w:type="spellEnd"/>
      <w:r>
        <w:t xml:space="preserve"> of eating nothing but green vegetables, much as wild gorillas do, except that a human cannot eat 10 kg a day, and cannot get enough protein. This diet is therefore not viable and is marked as such.</w:t>
      </w:r>
    </w:p>
    <w:p w:rsidR="00A35445" w:rsidRDefault="00A35445"/>
    <w:p w:rsidR="00A35445" w:rsidRDefault="00A35445">
      <w:r>
        <w:t xml:space="preserve">The fact that the Gorilla diet scored highest on health suggests the limitations of nutrient profiling, and suggests that it should be combined with some measure of variety or ‘balance’ as in the </w:t>
      </w:r>
      <w:proofErr w:type="spellStart"/>
      <w:r>
        <w:t>eatwell</w:t>
      </w:r>
      <w:proofErr w:type="spellEnd"/>
      <w:r>
        <w:t xml:space="preserve"> plate.</w:t>
      </w:r>
    </w:p>
    <w:p w:rsidR="00C94776" w:rsidRDefault="00C94776"/>
    <w:p w:rsidR="00C94776" w:rsidRDefault="00C94776">
      <w:r>
        <w:t>This kind of approach also allows us to explore the effects of future technologies, particular</w:t>
      </w:r>
      <w:r w:rsidR="00E16BEB">
        <w:t>l</w:t>
      </w:r>
      <w:r>
        <w:t>y on the energy side</w:t>
      </w:r>
      <w:r w:rsidR="00A35445">
        <w:t>. How would the same diets</w:t>
      </w:r>
      <w:r w:rsidR="00E16BEB">
        <w:t xml:space="preserve"> fare if all on-farm energy, energy for fertilisers, and all post-farm-gate emissions were abolished by new energy technologies? The health scores are essentially the same, although they can be nuanced by measures of ‘balance’, also calculated by Laura Blake. The </w:t>
      </w:r>
      <w:proofErr w:type="spellStart"/>
      <w:r w:rsidR="00E16BEB">
        <w:t>scattergram</w:t>
      </w:r>
      <w:proofErr w:type="spellEnd"/>
      <w:r w:rsidR="00E16BEB">
        <w:t xml:space="preserve"> below shows the results of this </w:t>
      </w:r>
      <w:proofErr w:type="spellStart"/>
      <w:r w:rsidR="00E16BEB">
        <w:t>analaysis</w:t>
      </w:r>
      <w:proofErr w:type="spellEnd"/>
      <w:r w:rsidR="00E16BEB">
        <w:t>:</w:t>
      </w:r>
    </w:p>
    <w:p w:rsidR="00A976B3" w:rsidRDefault="00A976B3"/>
    <w:p w:rsidR="00A976B3" w:rsidRDefault="00A976B3">
      <w:r>
        <w:rPr>
          <w:noProof/>
          <w:lang w:eastAsia="en-GB"/>
        </w:rPr>
        <w:drawing>
          <wp:inline distT="0" distB="0" distL="0" distR="0" wp14:anchorId="42C5A337" wp14:editId="33135291">
            <wp:extent cx="5274310" cy="3681095"/>
            <wp:effectExtent l="0" t="0" r="21590"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32C8" w:rsidRDefault="005932C8"/>
    <w:p w:rsidR="005932C8" w:rsidRDefault="005932C8">
      <w:r>
        <w:br w:type="page"/>
      </w:r>
    </w:p>
    <w:p w:rsidR="005932C8" w:rsidRDefault="005932C8">
      <w:r>
        <w:lastRenderedPageBreak/>
        <w:t>LECTURE 4</w:t>
      </w:r>
    </w:p>
    <w:p w:rsidR="005932C8" w:rsidRDefault="005932C8"/>
    <w:p w:rsidR="005932C8" w:rsidRDefault="005932C8">
      <w:r>
        <w:t>LAND AND SPACE FOR THE POST-CARBON FOOD SYSTEM</w:t>
      </w:r>
    </w:p>
    <w:p w:rsidR="00E817E5" w:rsidRDefault="00E817E5"/>
    <w:p w:rsidR="00E817E5" w:rsidRDefault="00E817E5">
      <w:r>
        <w:t>We have established that a well-designed low-livestock diet can be healthy and have very low GHGE. Can it satisfy other constraints?  Can it:</w:t>
      </w:r>
    </w:p>
    <w:p w:rsidR="00E817E5" w:rsidRDefault="00E817E5"/>
    <w:p w:rsidR="00E817E5" w:rsidRDefault="00E817E5">
      <w:proofErr w:type="gramStart"/>
      <w:r>
        <w:t>Food the UK population reliably?</w:t>
      </w:r>
      <w:proofErr w:type="gramEnd"/>
    </w:p>
    <w:p w:rsidR="00E817E5" w:rsidRDefault="00E817E5">
      <w:r>
        <w:t>Be produced largely in the UK?</w:t>
      </w:r>
    </w:p>
    <w:p w:rsidR="00E817E5" w:rsidRDefault="00E817E5">
      <w:r>
        <w:t>Comply with the ‘Planetary Boundaries’?</w:t>
      </w:r>
    </w:p>
    <w:p w:rsidR="00E817E5" w:rsidRDefault="00E817E5">
      <w:r>
        <w:t>Leave space for other requirements of a comprehensive decarbonisation policy</w:t>
      </w:r>
    </w:p>
    <w:p w:rsidR="000864A4" w:rsidRDefault="000864A4"/>
    <w:p w:rsidR="000864A4" w:rsidRDefault="000864A4">
      <w:r>
        <w:t xml:space="preserve">How much food do we need, and how much land do we need? The question of national self-sufficiency was addressed by Kenneth </w:t>
      </w:r>
      <w:proofErr w:type="spellStart"/>
      <w:r>
        <w:t>Mellanby</w:t>
      </w:r>
      <w:proofErr w:type="spellEnd"/>
      <w:r>
        <w:t xml:space="preserve"> in 1976, and revisited by Simon </w:t>
      </w:r>
      <w:proofErr w:type="spellStart"/>
      <w:r>
        <w:t>Fairlie</w:t>
      </w:r>
      <w:proofErr w:type="spellEnd"/>
      <w:r>
        <w:t xml:space="preserve"> in 2008. Both came to the conclusion that the UK could easily feed itself with a lower proportion of livestock in the agricultural mix – and therefore the diet. This follows simply from the kinds of principles explored by academic ecologists in the 60s and 70s (Odum</w:t>
      </w:r>
      <w:proofErr w:type="gramStart"/>
      <w:r>
        <w:t>), that</w:t>
      </w:r>
      <w:proofErr w:type="gramEnd"/>
      <w:r>
        <w:t xml:space="preserve"> to a fair approximation, there are energy </w:t>
      </w:r>
      <w:proofErr w:type="spellStart"/>
      <w:r>
        <w:t>lkosses</w:t>
      </w:r>
      <w:proofErr w:type="spellEnd"/>
      <w:r>
        <w:t xml:space="preserve"> of 80-90% across each </w:t>
      </w:r>
      <w:proofErr w:type="spellStart"/>
      <w:r>
        <w:t>tropiv</w:t>
      </w:r>
      <w:proofErr w:type="spellEnd"/>
      <w:r>
        <w:t xml:space="preserve"> level. There are many plants, far fewer herbivores (at least in terms of biomass) and far fewer </w:t>
      </w:r>
      <w:proofErr w:type="spellStart"/>
      <w:r>
        <w:t>stilol</w:t>
      </w:r>
      <w:proofErr w:type="spellEnd"/>
      <w:r>
        <w:t xml:space="preserve"> carnivores. </w:t>
      </w:r>
      <w:proofErr w:type="spellStart"/>
      <w:r>
        <w:t>Carnivory</w:t>
      </w:r>
      <w:proofErr w:type="spellEnd"/>
      <w:r>
        <w:t xml:space="preserve"> is a niche occupation, extremely ‘expensive’ in terms of </w:t>
      </w:r>
      <w:r w:rsidR="004217DA">
        <w:t xml:space="preserve">resources, and therefore of </w:t>
      </w:r>
      <w:r>
        <w:t>land.</w:t>
      </w:r>
    </w:p>
    <w:p w:rsidR="000864A4" w:rsidRDefault="000864A4"/>
    <w:p w:rsidR="000864A4" w:rsidRDefault="000864A4">
      <w:r>
        <w:t>In the ZCB series at CAT we went into many of the same calculations</w:t>
      </w:r>
      <w:r w:rsidR="004217DA">
        <w:t xml:space="preserve"> and largely confirmed them. We worked from both ends. One study started with agricultural commodities, altered the proportions to minimise GHGE, then checked the land required. It was much less. The study then ran the products forward through the various post-farm-gate systems to the point of sale to ensure there was enough food in terms of calories and protein, which there indeed was.</w:t>
      </w:r>
    </w:p>
    <w:p w:rsidR="004217DA" w:rsidRDefault="004217DA"/>
    <w:p w:rsidR="004217DA" w:rsidRDefault="004217DA">
      <w:r>
        <w:t xml:space="preserve">Another study started with actual foods as consumed, </w:t>
      </w:r>
      <w:r w:rsidR="005C3BF7">
        <w:t>re-designed the average diet for both low GHGE and nutritional value</w:t>
      </w:r>
      <w:r w:rsidR="00924D4D">
        <w:t xml:space="preserve"> (based on the ‘</w:t>
      </w:r>
      <w:proofErr w:type="spellStart"/>
      <w:r w:rsidR="00924D4D">
        <w:t>eatwell</w:t>
      </w:r>
      <w:proofErr w:type="spellEnd"/>
      <w:r w:rsidR="00924D4D">
        <w:t xml:space="preserve"> plate’)</w:t>
      </w:r>
      <w:r w:rsidR="005C3BF7">
        <w:t>, then</w:t>
      </w:r>
      <w:r>
        <w:t xml:space="preserve"> worked</w:t>
      </w:r>
      <w:r w:rsidR="005C3BF7">
        <w:t xml:space="preserve"> ‘backwards’ through the food chain to the commodities to establish land required. The two studies were in close agreement.</w:t>
      </w:r>
    </w:p>
    <w:p w:rsidR="005932C8" w:rsidRDefault="005932C8"/>
    <w:p w:rsidR="005932C8" w:rsidRDefault="00193F7D">
      <w:r w:rsidRPr="00193F7D">
        <w:drawing>
          <wp:anchor distT="0" distB="0" distL="114300" distR="114300" simplePos="0" relativeHeight="251666432" behindDoc="0" locked="0" layoutInCell="1" allowOverlap="1" wp14:anchorId="07535980" wp14:editId="239D284B">
            <wp:simplePos x="0" y="0"/>
            <wp:positionH relativeFrom="column">
              <wp:posOffset>2031365</wp:posOffset>
            </wp:positionH>
            <wp:positionV relativeFrom="paragraph">
              <wp:posOffset>399415</wp:posOffset>
            </wp:positionV>
            <wp:extent cx="3234690" cy="2207895"/>
            <wp:effectExtent l="0" t="0" r="22860" b="2095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24D4D">
        <w:t xml:space="preserve">In both cases, GHGE from food production were reduced from </w:t>
      </w:r>
      <w:proofErr w:type="gramStart"/>
      <w:r w:rsidR="00924D4D">
        <w:t xml:space="preserve">around 150 to 20 </w:t>
      </w:r>
      <w:proofErr w:type="spellStart"/>
      <w:r w:rsidR="00924D4D">
        <w:t>MtCOe</w:t>
      </w:r>
      <w:proofErr w:type="spellEnd"/>
      <w:r w:rsidR="00924D4D">
        <w:t>/y,</w:t>
      </w:r>
      <w:proofErr w:type="gramEnd"/>
      <w:r w:rsidR="00924D4D">
        <w:t xml:space="preserve"> and land from 16.5 million hectares to 8 </w:t>
      </w:r>
      <w:proofErr w:type="spellStart"/>
      <w:r w:rsidR="00924D4D">
        <w:t>Mha</w:t>
      </w:r>
      <w:proofErr w:type="spellEnd"/>
      <w:r w:rsidR="00924D4D">
        <w:t xml:space="preserve">. Imports were reduced from around 42% to around 20%, and most of these were ‘luxury’ items that could easily be foregone. The upshot is that in this scenario the UK becomes more food-secure, and releases 8.5 </w:t>
      </w:r>
      <w:proofErr w:type="spellStart"/>
      <w:r w:rsidR="00924D4D">
        <w:t>Mha</w:t>
      </w:r>
      <w:proofErr w:type="spellEnd"/>
      <w:r w:rsidR="00924D4D">
        <w:t xml:space="preserve"> for other uses.</w:t>
      </w:r>
      <w:r>
        <w:t xml:space="preserve"> The allocation on the ground is shown in the pie-chart. Note that livestock </w:t>
      </w:r>
      <w:r w:rsidRPr="00193F7D">
        <w:rPr>
          <w:i/>
        </w:rPr>
        <w:t>still</w:t>
      </w:r>
      <w:r>
        <w:t xml:space="preserve"> occupy nearly half the food-production area.</w:t>
      </w:r>
    </w:p>
    <w:p w:rsidR="00193F7D" w:rsidRDefault="00193F7D"/>
    <w:p w:rsidR="00924D4D" w:rsidRDefault="00924D4D"/>
    <w:p w:rsidR="007A71A8" w:rsidRDefault="007A71A8">
      <w:r>
        <w:lastRenderedPageBreak/>
        <w:t>INDIRECT LAND USE</w:t>
      </w:r>
    </w:p>
    <w:p w:rsidR="007A71A8" w:rsidRDefault="0027542D">
      <w:r>
        <w:rPr>
          <w:noProof/>
          <w:lang w:eastAsia="en-GB"/>
        </w:rPr>
        <w:drawing>
          <wp:anchor distT="0" distB="0" distL="114300" distR="114300" simplePos="0" relativeHeight="251668480" behindDoc="0" locked="0" layoutInCell="1" allowOverlap="1" wp14:anchorId="5F1F7FD7" wp14:editId="56783698">
            <wp:simplePos x="0" y="0"/>
            <wp:positionH relativeFrom="column">
              <wp:posOffset>2074545</wp:posOffset>
            </wp:positionH>
            <wp:positionV relativeFrom="paragraph">
              <wp:posOffset>1351280</wp:posOffset>
            </wp:positionV>
            <wp:extent cx="3536315" cy="3812540"/>
            <wp:effectExtent l="0" t="0" r="26035" b="1651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A71A8">
        <w:t xml:space="preserve">It is fairly </w:t>
      </w:r>
      <w:proofErr w:type="spellStart"/>
      <w:r w:rsidR="007A71A8">
        <w:t>strighforward</w:t>
      </w:r>
      <w:proofErr w:type="spellEnd"/>
      <w:r w:rsidR="007A71A8">
        <w:t xml:space="preserve"> to measure land use attributable to various commodities in the UK, and reasonable </w:t>
      </w:r>
      <w:proofErr w:type="spellStart"/>
      <w:r w:rsidR="007A71A8">
        <w:t>estmates</w:t>
      </w:r>
      <w:proofErr w:type="spellEnd"/>
      <w:r w:rsidR="007A71A8">
        <w:t xml:space="preserve"> can be made for </w:t>
      </w:r>
      <w:r w:rsidR="00F92EE5">
        <w:t xml:space="preserve">direct </w:t>
      </w:r>
      <w:r w:rsidR="007A71A8">
        <w:t xml:space="preserve">overseas production. There remains a problem however, in accounting for the effects of changing land-use, particularly the clearing of tropical forests for pasture or </w:t>
      </w:r>
      <w:r w:rsidR="00F92EE5">
        <w:t xml:space="preserve">oil palms or </w:t>
      </w:r>
      <w:proofErr w:type="spellStart"/>
      <w:r w:rsidR="007A71A8">
        <w:t>soyabean</w:t>
      </w:r>
      <w:proofErr w:type="spellEnd"/>
      <w:r w:rsidR="007A71A8">
        <w:t xml:space="preserve"> production. Such changes release a very large quantity of non-energy stored CO2 and are clearly part of the climate </w:t>
      </w:r>
      <w:proofErr w:type="spellStart"/>
      <w:r w:rsidR="007A71A8">
        <w:t>hange</w:t>
      </w:r>
      <w:proofErr w:type="spellEnd"/>
      <w:r w:rsidR="007A71A8">
        <w:t xml:space="preserve"> problem. Who is responsible for them? </w:t>
      </w:r>
      <w:proofErr w:type="gramStart"/>
      <w:r w:rsidR="007A71A8">
        <w:t>The farmers themselves?</w:t>
      </w:r>
      <w:proofErr w:type="gramEnd"/>
      <w:r w:rsidR="007A71A8">
        <w:t xml:space="preserve"> </w:t>
      </w:r>
      <w:proofErr w:type="gramStart"/>
      <w:r w:rsidR="007A71A8">
        <w:t>The country in which they occur?</w:t>
      </w:r>
      <w:proofErr w:type="gramEnd"/>
      <w:r w:rsidR="007A71A8">
        <w:t xml:space="preserve"> Or the countries that benefit from the products?</w:t>
      </w:r>
      <w:r w:rsidR="00F92EE5">
        <w:t xml:space="preserve"> – </w:t>
      </w:r>
      <w:proofErr w:type="gramStart"/>
      <w:r w:rsidR="00F92EE5">
        <w:t>because</w:t>
      </w:r>
      <w:proofErr w:type="gramEnd"/>
      <w:r w:rsidR="00F92EE5">
        <w:t xml:space="preserve"> a large proportion of these products are exported, mostly for livestock feed.</w:t>
      </w:r>
    </w:p>
    <w:p w:rsidR="00F92EE5" w:rsidRDefault="00F92EE5"/>
    <w:p w:rsidR="00F92EE5" w:rsidRDefault="00F92EE5">
      <w:r>
        <w:t xml:space="preserve">Once again the poor livestock get the rap! It has been estimated that the UK is responsible or about 100 MtCO2e a year in indirect land use change emissions, of which about </w:t>
      </w:r>
      <w:r w:rsidR="0027542D">
        <w:t>9</w:t>
      </w:r>
      <w:r>
        <w:t>0% are attributable to the livestock sector. These have not been accounted for in the data already presented. If we add them in, the disparity between the livestock and crop sectors becomes even more grotesque</w:t>
      </w:r>
      <w:r w:rsidR="0027542D">
        <w:t>, as the chart shows.</w:t>
      </w:r>
    </w:p>
    <w:p w:rsidR="00F92EE5" w:rsidRDefault="00F92EE5"/>
    <w:p w:rsidR="007A71A8" w:rsidRDefault="0027542D">
      <w:r>
        <w:t>The ZCB scenario</w:t>
      </w:r>
      <w:r w:rsidR="005A3B55">
        <w:t xml:space="preserve"> reduces this effect to a very small level simply by banning imports of livestock or feeds. UK livestock are fed directly from UK arable and grazing land. UK stock farmers have become very dependent on cheap imported soya meal, but this has not always been so, and there are many alternatives.</w:t>
      </w:r>
    </w:p>
    <w:p w:rsidR="005A3B55" w:rsidRDefault="005A3B55"/>
    <w:p w:rsidR="005A3B55" w:rsidRDefault="005A3B55">
      <w:r>
        <w:t>OTHER LAND USES</w:t>
      </w:r>
    </w:p>
    <w:p w:rsidR="005A3B55" w:rsidRDefault="005A3B55"/>
    <w:p w:rsidR="005A3B55" w:rsidRDefault="005A3B55">
      <w:r>
        <w:t>Energy crops:</w:t>
      </w:r>
    </w:p>
    <w:p w:rsidR="00924D4D" w:rsidRDefault="00924D4D">
      <w:r>
        <w:t>The ZCB scenario shows how the energy system can be decarbon</w:t>
      </w:r>
      <w:r w:rsidR="00F40D4B">
        <w:t>i</w:t>
      </w:r>
      <w:r>
        <w:t>sed and still supply customary energy services.</w:t>
      </w:r>
      <w:r w:rsidR="00F40D4B">
        <w:t xml:space="preserve"> Most of the energy is in the form of electricity from renewable sources, and cannot easily be stored.</w:t>
      </w:r>
      <w:r>
        <w:t xml:space="preserve">  Inevitably, there is </w:t>
      </w:r>
      <w:proofErr w:type="gramStart"/>
      <w:r>
        <w:t>a</w:t>
      </w:r>
      <w:r w:rsidR="00F40D4B">
        <w:t xml:space="preserve"> </w:t>
      </w:r>
      <w:r>
        <w:t xml:space="preserve"> substantial</w:t>
      </w:r>
      <w:proofErr w:type="gramEnd"/>
      <w:r>
        <w:t xml:space="preserve"> need for storable fuels</w:t>
      </w:r>
      <w:r w:rsidR="00F40D4B">
        <w:t xml:space="preserve">, and biomass crops play an important part in providing these fuels. A little over 4 </w:t>
      </w:r>
      <w:proofErr w:type="spellStart"/>
      <w:r w:rsidR="00F40D4B">
        <w:t>Mha</w:t>
      </w:r>
      <w:proofErr w:type="spellEnd"/>
      <w:r w:rsidR="00F40D4B">
        <w:t xml:space="preserve"> are </w:t>
      </w:r>
      <w:proofErr w:type="spellStart"/>
      <w:r w:rsidR="00F40D4B">
        <w:t>derdicated</w:t>
      </w:r>
      <w:proofErr w:type="spellEnd"/>
      <w:r w:rsidR="00F40D4B">
        <w:t xml:space="preserve"> to energy crops, mostly as short-</w:t>
      </w:r>
      <w:proofErr w:type="spellStart"/>
      <w:r w:rsidR="00F40D4B">
        <w:t>trotation</w:t>
      </w:r>
      <w:proofErr w:type="spellEnd"/>
      <w:r w:rsidR="00F40D4B">
        <w:t xml:space="preserve"> coppice and high-yielding perennial grasses.</w:t>
      </w:r>
    </w:p>
    <w:p w:rsidR="00F40D4B" w:rsidRDefault="00F40D4B"/>
    <w:p w:rsidR="005A3B55" w:rsidRDefault="005A3B55">
      <w:r>
        <w:t>Sequestration crops:</w:t>
      </w:r>
    </w:p>
    <w:p w:rsidR="001F0D70" w:rsidRDefault="00F40D4B">
      <w:r>
        <w:t xml:space="preserve">Within the framework of the scenario it is also thought import for the UK to net off its ‘residual emissions’ by means of ‘negative emission’ processes to deliver a net-zero-emission economy. Calculating how much is required and how it shall be </w:t>
      </w:r>
      <w:proofErr w:type="gramStart"/>
      <w:r>
        <w:t>delivered,</w:t>
      </w:r>
      <w:proofErr w:type="gramEnd"/>
      <w:r>
        <w:t xml:space="preserve"> is somewhat uncertain, but </w:t>
      </w:r>
      <w:r w:rsidR="002E23BB">
        <w:t xml:space="preserve">various possibilities have been modelled. </w:t>
      </w:r>
      <w:r w:rsidR="001F0D70">
        <w:t xml:space="preserve"> It was found that </w:t>
      </w:r>
      <w:r w:rsidR="001F0D70">
        <w:lastRenderedPageBreak/>
        <w:t xml:space="preserve">around </w:t>
      </w:r>
      <w:r w:rsidR="002E23BB">
        <w:t>50 Mt</w:t>
      </w:r>
      <w:r w:rsidR="001F0D70">
        <w:t xml:space="preserve"> could be sequestered in situ, using restored peat bogs and reforestation, and this would also have large benefits in terms of biodiversity, amenity and forest products. Higher levels, perhaps up to 80 Mt, could be achieved by much larger planting of high-yielding crops such as miscanthus, along with various engineering processes to sequester the carbon, including incorporation into buildings and products, biochar, and mass sequestration in underground silos.</w:t>
      </w:r>
    </w:p>
    <w:p w:rsidR="001F0D70" w:rsidRDefault="001F0D70"/>
    <w:p w:rsidR="00F40D4B" w:rsidRDefault="001F0D70">
      <w:r>
        <w:t xml:space="preserve">Given that there is no comprehensive world decarbonisation plan, it is hard to say what </w:t>
      </w:r>
      <w:proofErr w:type="gramStart"/>
      <w:r>
        <w:t>is the optimum role for a country like Britain</w:t>
      </w:r>
      <w:proofErr w:type="gramEnd"/>
      <w:r>
        <w:t xml:space="preserve">. Should it be net-zero within its own borders? Should it import, or export energy? </w:t>
      </w:r>
      <w:proofErr w:type="gramStart"/>
      <w:r>
        <w:t>Or food?</w:t>
      </w:r>
      <w:proofErr w:type="gramEnd"/>
      <w:r>
        <w:t xml:space="preserve"> </w:t>
      </w:r>
      <w:r w:rsidR="00193F7D">
        <w:t xml:space="preserve"> Should it reduce its livestock component even further? </w:t>
      </w:r>
      <w:r>
        <w:t>Should it ‘offshore’ its apparent sequestration obligations? Can it simply pay for internation</w:t>
      </w:r>
      <w:r w:rsidR="00193F7D">
        <w:t>al</w:t>
      </w:r>
      <w:r>
        <w:t xml:space="preserve"> ‘carbon credits’</w:t>
      </w:r>
      <w:r w:rsidR="00193F7D">
        <w:t>?</w:t>
      </w:r>
    </w:p>
    <w:p w:rsidR="001F0D70" w:rsidRDefault="001F0D70"/>
    <w:p w:rsidR="001F0D70" w:rsidRDefault="001F0D70">
      <w:r>
        <w:t>These questions are left on the table.</w:t>
      </w:r>
    </w:p>
    <w:p w:rsidR="00193F7D" w:rsidRDefault="00193F7D"/>
    <w:p w:rsidR="005A3B55" w:rsidRDefault="004B3F8B">
      <w:r w:rsidRPr="00193F7D">
        <w:drawing>
          <wp:anchor distT="0" distB="0" distL="114300" distR="114300" simplePos="0" relativeHeight="251667456" behindDoc="0" locked="0" layoutInCell="1" allowOverlap="1" wp14:anchorId="5CD336BD" wp14:editId="2DE7E27A">
            <wp:simplePos x="0" y="0"/>
            <wp:positionH relativeFrom="column">
              <wp:posOffset>115570</wp:posOffset>
            </wp:positionH>
            <wp:positionV relativeFrom="paragraph">
              <wp:posOffset>487045</wp:posOffset>
            </wp:positionV>
            <wp:extent cx="5047615" cy="3088005"/>
            <wp:effectExtent l="0" t="0" r="635" b="0"/>
            <wp:wrapSquare wrapText="bothSides"/>
            <wp:docPr id="8" name="Content Placeholder 7" descr="http://www.stockholmresilience.org/images/18.7cf9c5aa121e17bab42800043477/PB-quantitative-evolutio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descr="http://www.stockholmresilience.org/images/18.7cf9c5aa121e17bab42800043477/PB-quantitative-evolution.jpg"/>
                    <pic:cNvPicPr>
                      <a:picLocks noGr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7615"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B55">
        <w:t>THE OTHER PLANETARY BOUNDARIES</w:t>
      </w:r>
    </w:p>
    <w:p w:rsidR="00193F7D" w:rsidRDefault="00193F7D">
      <w:r>
        <w:t xml:space="preserve">Several more </w:t>
      </w:r>
      <w:r w:rsidR="005A3B55">
        <w:t xml:space="preserve">questions </w:t>
      </w:r>
      <w:r>
        <w:t xml:space="preserve">remain, notably the ‘planetary boundaries’ first proposed and calibrated by </w:t>
      </w:r>
      <w:proofErr w:type="spellStart"/>
      <w:r>
        <w:t>Rockstrom</w:t>
      </w:r>
      <w:proofErr w:type="spellEnd"/>
      <w:r>
        <w:t xml:space="preserve"> et al (2010).</w:t>
      </w:r>
      <w:r w:rsidR="004B3F8B">
        <w:t xml:space="preserve">  Of the nine (effectively ten) Climate change and Ocean acidification are coupled through CO2 emissions and mostly associated with fossil fuel combustion. Nevertheless, agriculture as a whole probably contributes 20% to climate change, and perhaps 5% to ocean </w:t>
      </w:r>
      <w:proofErr w:type="spellStart"/>
      <w:r w:rsidR="004B3F8B">
        <w:t>acidifaction</w:t>
      </w:r>
      <w:proofErr w:type="spellEnd"/>
      <w:r w:rsidR="004B3F8B">
        <w:t>.</w:t>
      </w:r>
    </w:p>
    <w:p w:rsidR="00917A36" w:rsidRDefault="004B3F8B">
      <w:r>
        <w:t xml:space="preserve">What about the other boundary issues? The question has been little asked, </w:t>
      </w:r>
      <w:proofErr w:type="spellStart"/>
      <w:proofErr w:type="gramStart"/>
      <w:r>
        <w:t>bt</w:t>
      </w:r>
      <w:proofErr w:type="spellEnd"/>
      <w:proofErr w:type="gramEnd"/>
      <w:r>
        <w:t xml:space="preserve"> it is fairly obvious that with a single exception they are strongly influenced by agriculture. </w:t>
      </w:r>
      <w:r w:rsidR="00917A36">
        <w:t xml:space="preserve"> The table presents some speculative estimates (they are no more than that) of the impact of </w:t>
      </w:r>
      <w:proofErr w:type="spellStart"/>
      <w:r w:rsidR="00917A36">
        <w:t>agricuylture</w:t>
      </w:r>
      <w:proofErr w:type="spellEnd"/>
      <w:r w:rsidR="00917A36">
        <w:t xml:space="preserve"> and the proportion contributed by the livestock sector, and an estimate of the reductions achieved by the ZCB scenario.</w:t>
      </w:r>
    </w:p>
    <w:p w:rsidR="00302C03" w:rsidRDefault="00302C03"/>
    <w:p w:rsidR="00302C03" w:rsidRDefault="00302C03">
      <w:r>
        <w:t>KEY:</w:t>
      </w:r>
    </w:p>
    <w:p w:rsidR="00302C03" w:rsidRDefault="00F65288" w:rsidP="00302C03">
      <w:pPr>
        <w:pStyle w:val="ListParagraph"/>
        <w:numPr>
          <w:ilvl w:val="0"/>
          <w:numId w:val="2"/>
        </w:numPr>
      </w:pPr>
      <w:r>
        <w:t xml:space="preserve">   </w:t>
      </w:r>
      <w:r w:rsidR="00302C03">
        <w:t>Negligible influence</w:t>
      </w:r>
    </w:p>
    <w:p w:rsidR="00F65288" w:rsidRDefault="00F65288" w:rsidP="00F65288">
      <w:pPr>
        <w:ind w:left="360"/>
      </w:pPr>
      <w:r>
        <w:t>+       Some influence</w:t>
      </w:r>
    </w:p>
    <w:p w:rsidR="00F65288" w:rsidRDefault="00F65288" w:rsidP="00F65288">
      <w:pPr>
        <w:ind w:left="360"/>
      </w:pPr>
      <w:r>
        <w:t>++     Large influence</w:t>
      </w:r>
    </w:p>
    <w:p w:rsidR="00F65288" w:rsidRDefault="00F65288" w:rsidP="00F65288">
      <w:pPr>
        <w:ind w:left="360"/>
      </w:pPr>
      <w:r>
        <w:t>+++   Dominant influence</w:t>
      </w:r>
    </w:p>
    <w:p w:rsidR="00917A36" w:rsidRDefault="00917A36"/>
    <w:tbl>
      <w:tblPr>
        <w:tblStyle w:val="TableGrid"/>
        <w:tblW w:w="0" w:type="auto"/>
        <w:tblLook w:val="04A0" w:firstRow="1" w:lastRow="0" w:firstColumn="1" w:lastColumn="0" w:noHBand="0" w:noVBand="1"/>
      </w:tblPr>
      <w:tblGrid>
        <w:gridCol w:w="2350"/>
        <w:gridCol w:w="1910"/>
        <w:gridCol w:w="2131"/>
        <w:gridCol w:w="2131"/>
      </w:tblGrid>
      <w:tr w:rsidR="00917A36" w:rsidTr="00302C03">
        <w:tc>
          <w:tcPr>
            <w:tcW w:w="2350" w:type="dxa"/>
          </w:tcPr>
          <w:p w:rsidR="00917A36" w:rsidRPr="00F65288" w:rsidRDefault="00917A36">
            <w:pPr>
              <w:rPr>
                <w:b/>
                <w:sz w:val="20"/>
              </w:rPr>
            </w:pPr>
            <w:r w:rsidRPr="00F65288">
              <w:rPr>
                <w:b/>
                <w:sz w:val="20"/>
              </w:rPr>
              <w:t>BOUNDARY</w:t>
            </w:r>
          </w:p>
        </w:tc>
        <w:tc>
          <w:tcPr>
            <w:tcW w:w="1910" w:type="dxa"/>
          </w:tcPr>
          <w:p w:rsidR="00917A36" w:rsidRPr="00F65288" w:rsidRDefault="00917A36">
            <w:pPr>
              <w:rPr>
                <w:b/>
                <w:sz w:val="20"/>
              </w:rPr>
            </w:pPr>
            <w:r w:rsidRPr="00F65288">
              <w:rPr>
                <w:b/>
                <w:sz w:val="20"/>
              </w:rPr>
              <w:t>INFLUENCE OF AGRICULTURE</w:t>
            </w:r>
          </w:p>
        </w:tc>
        <w:tc>
          <w:tcPr>
            <w:tcW w:w="2131" w:type="dxa"/>
          </w:tcPr>
          <w:p w:rsidR="00917A36" w:rsidRPr="00F65288" w:rsidRDefault="00302C03">
            <w:pPr>
              <w:rPr>
                <w:b/>
                <w:sz w:val="20"/>
              </w:rPr>
            </w:pPr>
            <w:r w:rsidRPr="00F65288">
              <w:rPr>
                <w:b/>
                <w:sz w:val="20"/>
              </w:rPr>
              <w:t xml:space="preserve">PROPORTIONAL </w:t>
            </w:r>
            <w:r w:rsidR="00917A36" w:rsidRPr="00F65288">
              <w:rPr>
                <w:b/>
                <w:sz w:val="20"/>
              </w:rPr>
              <w:t>INFLUENCE OF LIVESTOCK SECTOR</w:t>
            </w:r>
          </w:p>
        </w:tc>
        <w:tc>
          <w:tcPr>
            <w:tcW w:w="2131" w:type="dxa"/>
          </w:tcPr>
          <w:p w:rsidR="00917A36" w:rsidRPr="00F65288" w:rsidRDefault="00917A36">
            <w:pPr>
              <w:rPr>
                <w:b/>
                <w:sz w:val="20"/>
              </w:rPr>
            </w:pPr>
            <w:r w:rsidRPr="00F65288">
              <w:rPr>
                <w:b/>
                <w:sz w:val="20"/>
              </w:rPr>
              <w:t>REDUCTION AS RESULT OF ZCB</w:t>
            </w:r>
            <w:r w:rsidR="00155D7B">
              <w:rPr>
                <w:b/>
                <w:sz w:val="20"/>
              </w:rPr>
              <w:t>LU</w:t>
            </w:r>
            <w:r w:rsidRPr="00F65288">
              <w:rPr>
                <w:b/>
                <w:sz w:val="20"/>
              </w:rPr>
              <w:t xml:space="preserve"> PROPOSALS</w:t>
            </w:r>
          </w:p>
        </w:tc>
      </w:tr>
      <w:tr w:rsidR="00917A36" w:rsidTr="00302C03">
        <w:tc>
          <w:tcPr>
            <w:tcW w:w="2350" w:type="dxa"/>
          </w:tcPr>
          <w:p w:rsidR="00917A36" w:rsidRDefault="00917A36">
            <w:r>
              <w:t>Climate Change</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sz w:val="36"/>
              </w:rPr>
            </w:pPr>
            <w:r w:rsidRPr="00302C03">
              <w:rPr>
                <w:sz w:val="36"/>
              </w:rPr>
              <w:t>↓</w:t>
            </w:r>
          </w:p>
        </w:tc>
      </w:tr>
      <w:tr w:rsidR="00917A36" w:rsidTr="00302C03">
        <w:tc>
          <w:tcPr>
            <w:tcW w:w="2350" w:type="dxa"/>
          </w:tcPr>
          <w:p w:rsidR="00917A36" w:rsidRDefault="00302C03">
            <w:r>
              <w:t>Ocean Acidification</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sz w:val="36"/>
              </w:rPr>
            </w:pPr>
            <w:r w:rsidRPr="00302C03">
              <w:rPr>
                <w:sz w:val="36"/>
              </w:rPr>
              <w:t>↓</w:t>
            </w:r>
          </w:p>
        </w:tc>
      </w:tr>
      <w:tr w:rsidR="00917A36" w:rsidTr="00302C03">
        <w:tc>
          <w:tcPr>
            <w:tcW w:w="2350" w:type="dxa"/>
          </w:tcPr>
          <w:p w:rsidR="00917A36" w:rsidRDefault="00302C03">
            <w:r>
              <w:t>Ozone Depletion</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sz w:val="36"/>
              </w:rPr>
            </w:pPr>
            <w:r w:rsidRPr="00302C03">
              <w:rPr>
                <w:sz w:val="36"/>
              </w:rPr>
              <w:t>-</w:t>
            </w:r>
          </w:p>
        </w:tc>
      </w:tr>
      <w:tr w:rsidR="00917A36" w:rsidTr="00302C03">
        <w:tc>
          <w:tcPr>
            <w:tcW w:w="2350" w:type="dxa"/>
          </w:tcPr>
          <w:p w:rsidR="00917A36" w:rsidRDefault="00302C03">
            <w:r>
              <w:t>Reactive Nitrogen</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sz w:val="36"/>
              </w:rPr>
            </w:pPr>
            <w:r w:rsidRPr="00302C03">
              <w:rPr>
                <w:sz w:val="36"/>
              </w:rPr>
              <w:t>↓↓</w:t>
            </w:r>
          </w:p>
        </w:tc>
      </w:tr>
      <w:tr w:rsidR="00917A36" w:rsidTr="00302C03">
        <w:tc>
          <w:tcPr>
            <w:tcW w:w="2350" w:type="dxa"/>
          </w:tcPr>
          <w:p w:rsidR="00917A36" w:rsidRDefault="00302C03">
            <w:r>
              <w:t>Reactive Phosphorus</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sz w:val="36"/>
              </w:rPr>
            </w:pPr>
            <w:r w:rsidRPr="00302C03">
              <w:rPr>
                <w:sz w:val="36"/>
              </w:rPr>
              <w:t>↓</w:t>
            </w:r>
          </w:p>
        </w:tc>
      </w:tr>
      <w:tr w:rsidR="00917A36" w:rsidTr="00302C03">
        <w:tc>
          <w:tcPr>
            <w:tcW w:w="2350" w:type="dxa"/>
          </w:tcPr>
          <w:p w:rsidR="00917A36" w:rsidRDefault="00302C03" w:rsidP="00302C03">
            <w:r>
              <w:t>Freshwater use</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sz w:val="36"/>
              </w:rPr>
            </w:pPr>
            <w:r w:rsidRPr="00302C03">
              <w:rPr>
                <w:sz w:val="36"/>
              </w:rPr>
              <w:t>↓</w:t>
            </w:r>
          </w:p>
        </w:tc>
      </w:tr>
      <w:tr w:rsidR="00917A36" w:rsidTr="00302C03">
        <w:tc>
          <w:tcPr>
            <w:tcW w:w="2350" w:type="dxa"/>
          </w:tcPr>
          <w:p w:rsidR="00917A36" w:rsidRDefault="00302C03">
            <w:r>
              <w:t>Land System Change</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r w:rsidR="00FB3AD8">
              <w:rPr>
                <w:b/>
                <w:sz w:val="32"/>
              </w:rPr>
              <w:t>+</w:t>
            </w:r>
          </w:p>
        </w:tc>
        <w:tc>
          <w:tcPr>
            <w:tcW w:w="2131" w:type="dxa"/>
          </w:tcPr>
          <w:p w:rsidR="00917A36" w:rsidRPr="00302C03" w:rsidRDefault="00302C03" w:rsidP="00302C03">
            <w:pPr>
              <w:jc w:val="center"/>
              <w:rPr>
                <w:sz w:val="36"/>
              </w:rPr>
            </w:pPr>
            <w:r w:rsidRPr="00302C03">
              <w:rPr>
                <w:sz w:val="36"/>
              </w:rPr>
              <w:t>↓↓</w:t>
            </w:r>
          </w:p>
        </w:tc>
      </w:tr>
      <w:tr w:rsidR="00917A36" w:rsidTr="00302C03">
        <w:tc>
          <w:tcPr>
            <w:tcW w:w="2350" w:type="dxa"/>
          </w:tcPr>
          <w:p w:rsidR="00917A36" w:rsidRDefault="00302C03">
            <w:r>
              <w:t>Biodiversity</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sz w:val="36"/>
              </w:rPr>
            </w:pPr>
            <w:r w:rsidRPr="00302C03">
              <w:rPr>
                <w:sz w:val="36"/>
              </w:rPr>
              <w:t>↓↓</w:t>
            </w:r>
          </w:p>
        </w:tc>
      </w:tr>
      <w:tr w:rsidR="00917A36" w:rsidTr="00302C03">
        <w:tc>
          <w:tcPr>
            <w:tcW w:w="2350" w:type="dxa"/>
          </w:tcPr>
          <w:p w:rsidR="00917A36" w:rsidRDefault="00302C03">
            <w:r>
              <w:t>Aerosol Loading</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r>
      <w:tr w:rsidR="00917A36" w:rsidTr="00302C03">
        <w:tc>
          <w:tcPr>
            <w:tcW w:w="2350" w:type="dxa"/>
          </w:tcPr>
          <w:p w:rsidR="00917A36" w:rsidRDefault="00302C03">
            <w:r>
              <w:t>Chemical Pollution</w:t>
            </w:r>
          </w:p>
        </w:tc>
        <w:tc>
          <w:tcPr>
            <w:tcW w:w="1910"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c>
          <w:tcPr>
            <w:tcW w:w="2131" w:type="dxa"/>
          </w:tcPr>
          <w:p w:rsidR="00917A36" w:rsidRPr="00302C03" w:rsidRDefault="00302C03" w:rsidP="00302C03">
            <w:pPr>
              <w:jc w:val="center"/>
              <w:rPr>
                <w:b/>
                <w:sz w:val="32"/>
              </w:rPr>
            </w:pPr>
            <w:r w:rsidRPr="00302C03">
              <w:rPr>
                <w:b/>
                <w:sz w:val="32"/>
              </w:rPr>
              <w:t>?</w:t>
            </w:r>
          </w:p>
        </w:tc>
      </w:tr>
    </w:tbl>
    <w:p w:rsidR="00917A36" w:rsidRDefault="00917A36"/>
    <w:p w:rsidR="004B3F8B" w:rsidRDefault="00F65288">
      <w:r>
        <w:t>Although these are as yet unsupported claims</w:t>
      </w:r>
      <w:proofErr w:type="gramStart"/>
      <w:r>
        <w:t>,  they</w:t>
      </w:r>
      <w:proofErr w:type="gramEnd"/>
      <w:r>
        <w:t xml:space="preserve"> are broadly plausible. Once more the livestock sector is revealed as having the largest malign influence, and the ‘improvements’ attributed to the ZCB scenario are largely a result of livestock reductions.</w:t>
      </w:r>
    </w:p>
    <w:p w:rsidR="00155D7B" w:rsidRDefault="00155D7B">
      <w:r>
        <w:br w:type="page"/>
      </w:r>
    </w:p>
    <w:p w:rsidR="00155D7B" w:rsidRDefault="00155D7B">
      <w:r>
        <w:lastRenderedPageBreak/>
        <w:t>LECTURE 5</w:t>
      </w:r>
    </w:p>
    <w:p w:rsidR="00155D7B" w:rsidRDefault="00155D7B"/>
    <w:p w:rsidR="00155D7B" w:rsidRDefault="00155D7B">
      <w:r>
        <w:t>HOUSEHOLD AND COMMUNITY FOOD PRODUCTION</w:t>
      </w:r>
    </w:p>
    <w:p w:rsidR="00155D7B" w:rsidRDefault="00155D7B"/>
    <w:p w:rsidR="00155D7B" w:rsidRDefault="00155D7B">
      <w:r>
        <w:t>The lecture asks, what is the optimum role of householders and local communities to post-carbon food systems and reducing environmental impacts generally?</w:t>
      </w:r>
    </w:p>
    <w:p w:rsidR="00155D7B" w:rsidRDefault="00155D7B"/>
    <w:p w:rsidR="00155D7B" w:rsidRDefault="00155D7B">
      <w:r>
        <w:t>The logic of the situation is that ‘growing your own’ does not make a great deal of difference in carbon terms unless the diet is radically changed. The simple reason for this is that the items easily produced by householders already have very low carbon-intensities, even if they are ‘commercially’ produced.</w:t>
      </w:r>
    </w:p>
    <w:p w:rsidR="00155D7B" w:rsidRDefault="00155D7B"/>
    <w:p w:rsidR="008C454B" w:rsidRDefault="008C454B" w:rsidP="008C454B">
      <w:r>
        <w:t xml:space="preserve">Suppose you eat 750 kg a year. Average is 2.45 tCO2e, an average intensity of 3.3kg/kg. Now change your diet so that you eat 50% local seasonal vegetables instead of 6%, and simply reduce everything else pro rata. Seasonal veg are normally rated at 0.8kg/kg, so 345kg ‘emit’ 0.28 tCO2e. Your ‘new’ food emissions would be (2.45-0.28)/2 + 0.28 </w:t>
      </w:r>
      <w:proofErr w:type="gramStart"/>
      <w:r>
        <w:t>=  1.37</w:t>
      </w:r>
      <w:proofErr w:type="gramEnd"/>
      <w:r>
        <w:t>, a substantial reduction of 1.08 or 44%. If you had simply grown your original 6% yourself you would have reduced by 0.04 t or 1.5%. If you grow all your new veggies yourself you would save 0.3 t or 12%</w:t>
      </w:r>
      <w:r>
        <w:t xml:space="preserve"> relative to buying them</w:t>
      </w:r>
      <w:r>
        <w:t>.</w:t>
      </w:r>
    </w:p>
    <w:p w:rsidR="008C454B" w:rsidRDefault="008C454B" w:rsidP="008C454B"/>
    <w:p w:rsidR="00155D7B" w:rsidRDefault="00155D7B">
      <w:r>
        <w:t xml:space="preserve">On the other hand, it is frequently observed that home production of fruit and </w:t>
      </w:r>
      <w:proofErr w:type="spellStart"/>
      <w:r>
        <w:t>vegatbles</w:t>
      </w:r>
      <w:proofErr w:type="spellEnd"/>
      <w:r>
        <w:t xml:space="preserve"> does actually help to shift the diet in a more sustainable direction</w:t>
      </w:r>
      <w:r w:rsidR="00E93CF7">
        <w:t xml:space="preserve">. One starts to build meals round the seasonal availability of vegetables rather than higher-intensity staples or livestock </w:t>
      </w:r>
      <w:proofErr w:type="gramStart"/>
      <w:r w:rsidR="00E93CF7">
        <w:t>items, that</w:t>
      </w:r>
      <w:proofErr w:type="gramEnd"/>
      <w:r w:rsidR="00E93CF7">
        <w:t xml:space="preserve"> are </w:t>
      </w:r>
      <w:r w:rsidR="008C454B">
        <w:t xml:space="preserve">often </w:t>
      </w:r>
      <w:r w:rsidR="00E93CF7">
        <w:t>relegated to the role of ‘garnishes’.</w:t>
      </w:r>
    </w:p>
    <w:p w:rsidR="008C454B" w:rsidRDefault="008C454B"/>
    <w:p w:rsidR="008C454B" w:rsidRDefault="008C454B">
      <w:r>
        <w:t xml:space="preserve">As we have already </w:t>
      </w:r>
      <w:proofErr w:type="spellStart"/>
      <w:r>
        <w:t>establ</w:t>
      </w:r>
      <w:proofErr w:type="gramStart"/>
      <w:r>
        <w:t>;ished</w:t>
      </w:r>
      <w:proofErr w:type="spellEnd"/>
      <w:proofErr w:type="gramEnd"/>
      <w:r>
        <w:t>, this is a very healthy diet. We must acknowledge however that it is difficult for householders to produce staple grains, oils or meat and dairy produce. Even backyard poultry tends to depend on bought-in feeds. But farmers are very good at producing basic calories and proteins</w:t>
      </w:r>
      <w:r w:rsidR="00B56B92">
        <w:t>: let them.</w:t>
      </w:r>
    </w:p>
    <w:p w:rsidR="00E93CF7" w:rsidRDefault="00E93CF7"/>
    <w:p w:rsidR="00E93CF7" w:rsidRDefault="00E93CF7">
      <w:r>
        <w:t>In the longer term it is possible to envisage a spatial pattern of food production radiating out from towns and cities, somewhat like that shown in the illustration:</w:t>
      </w:r>
      <w:r w:rsidRPr="00E93CF7">
        <w:t xml:space="preserve"> </w:t>
      </w:r>
    </w:p>
    <w:p w:rsidR="00E93CF7" w:rsidRDefault="00E93CF7"/>
    <w:p w:rsidR="00E93CF7" w:rsidRDefault="00E93CF7">
      <w:r w:rsidRPr="00E93CF7">
        <w:lastRenderedPageBreak/>
        <w:drawing>
          <wp:inline distT="0" distB="0" distL="0" distR="0" wp14:anchorId="33E838CA" wp14:editId="6ED76862">
            <wp:extent cx="4450080" cy="4006215"/>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80" cy="4006215"/>
                    </a:xfrm>
                    <a:prstGeom prst="rect">
                      <a:avLst/>
                    </a:prstGeom>
                    <a:noFill/>
                    <a:ln>
                      <a:noFill/>
                    </a:ln>
                    <a:effectLst/>
                    <a:extLst/>
                  </pic:spPr>
                </pic:pic>
              </a:graphicData>
            </a:graphic>
          </wp:inline>
        </w:drawing>
      </w:r>
    </w:p>
    <w:p w:rsidR="00E93CF7" w:rsidRDefault="00E93CF7">
      <w:r>
        <w:t xml:space="preserve">It is obvious that the author of this figure considers most food supply to be commercial, but the “2.5%” of “urban domestic” includes a large majority that cannot or do not want to grow food themselves, leaving much higher proportions for </w:t>
      </w:r>
      <w:r w:rsidR="004B60AD">
        <w:t xml:space="preserve">the enthusiasts, who can also take part in the “urban traded” sector, or indeed the </w:t>
      </w:r>
      <w:proofErr w:type="spellStart"/>
      <w:r w:rsidR="004B60AD">
        <w:t>peri</w:t>
      </w:r>
      <w:proofErr w:type="spellEnd"/>
      <w:r w:rsidR="004B60AD">
        <w:t xml:space="preserve">-urban production of fruit and vegetables and probably livestock as well. The high popularity of City Farms suggests a widespread hunger for more contact with animals, and it is pleasant to imagine that much-expanded small-scale production of eggs, dairy, pork and poultry could take place in the suburbs or </w:t>
      </w:r>
      <w:proofErr w:type="spellStart"/>
      <w:r w:rsidR="004B60AD">
        <w:t>peri</w:t>
      </w:r>
      <w:proofErr w:type="spellEnd"/>
      <w:r w:rsidR="004B60AD">
        <w:t>-urban regions</w:t>
      </w:r>
      <w:r w:rsidR="002D587B">
        <w:t>, with much part-time involvement from members of the local community from pensioners to schoolchildren</w:t>
      </w:r>
      <w:r w:rsidR="004B60AD">
        <w:t xml:space="preserve">. </w:t>
      </w:r>
    </w:p>
    <w:p w:rsidR="006B0023" w:rsidRDefault="006B0023"/>
    <w:p w:rsidR="00E93CF7" w:rsidRDefault="00B56B92">
      <w:r>
        <w:t>OK let us go back to the house-and-garden, accepting that we are not trying for ‘self-sufficiency’ and will play to the strengths of domestic gardens attached to a house and household.  There is probably not much point in isolating food from other concerns. We want to design ‘lifestyle packages’ that minimise GHGE while maximising the quality of life. I have sometimes termed this ‘Rationalised Permaculture’ because in the popular conception Permaculture means sustainable living with a large horticultural component, yet the Permaculture movement itself has been reluctant to analyse and quantify the process in order to separate successful and unsuccessful aspects</w:t>
      </w:r>
      <w:r w:rsidR="00237C3F">
        <w:t>. I have tried to do this.</w:t>
      </w:r>
    </w:p>
    <w:p w:rsidR="00237C3F" w:rsidRDefault="00237C3F"/>
    <w:p w:rsidR="00237C3F" w:rsidRDefault="00237C3F">
      <w:r>
        <w:t>Look quickly at the breakdown of emissions due to consumption of the average UK person in the average household (although nobody is actually ‘average’ most UK people are close).</w:t>
      </w:r>
      <w:r w:rsidR="00592192">
        <w:t xml:space="preserve"> These are tonnes of CO2e per year</w:t>
      </w:r>
    </w:p>
    <w:p w:rsidR="00237C3F" w:rsidRDefault="00237C3F">
      <w:r>
        <w:t>House Energy</w:t>
      </w:r>
      <w:r>
        <w:tab/>
      </w:r>
      <w:r>
        <w:tab/>
      </w:r>
      <w:r>
        <w:tab/>
      </w:r>
      <w:r w:rsidR="007F7FFE">
        <w:tab/>
      </w:r>
      <w:r>
        <w:t>2.5</w:t>
      </w:r>
    </w:p>
    <w:p w:rsidR="00237C3F" w:rsidRDefault="00237C3F">
      <w:r>
        <w:t>Travel</w:t>
      </w:r>
      <w:r>
        <w:tab/>
      </w:r>
      <w:r>
        <w:tab/>
      </w:r>
      <w:r>
        <w:tab/>
      </w:r>
      <w:r>
        <w:tab/>
      </w:r>
      <w:r w:rsidR="007F7FFE">
        <w:tab/>
      </w:r>
      <w:r>
        <w:t>3.8</w:t>
      </w:r>
    </w:p>
    <w:p w:rsidR="00237C3F" w:rsidRDefault="00237C3F">
      <w:r>
        <w:t>Food</w:t>
      </w:r>
      <w:r>
        <w:tab/>
      </w:r>
      <w:r>
        <w:tab/>
      </w:r>
      <w:r>
        <w:tab/>
      </w:r>
      <w:r>
        <w:tab/>
      </w:r>
      <w:r w:rsidR="007F7FFE">
        <w:tab/>
      </w:r>
      <w:r>
        <w:t>2.6</w:t>
      </w:r>
    </w:p>
    <w:p w:rsidR="00237C3F" w:rsidRDefault="00BD1445">
      <w:r>
        <w:rPr>
          <w:noProof/>
          <w:lang w:eastAsia="en-GB"/>
        </w:rPr>
        <w:lastRenderedPageBreak/>
        <w:drawing>
          <wp:anchor distT="0" distB="0" distL="114300" distR="114300" simplePos="0" relativeHeight="251658239" behindDoc="0" locked="0" layoutInCell="1" allowOverlap="1" wp14:anchorId="18E8E641" wp14:editId="39D6198A">
            <wp:simplePos x="0" y="0"/>
            <wp:positionH relativeFrom="column">
              <wp:posOffset>3869055</wp:posOffset>
            </wp:positionH>
            <wp:positionV relativeFrom="paragraph">
              <wp:posOffset>-20960344</wp:posOffset>
            </wp:positionV>
            <wp:extent cx="495300" cy="570865"/>
            <wp:effectExtent l="0" t="0" r="0" b="635"/>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57086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007F7FFE">
        <w:t xml:space="preserve">Investment, </w:t>
      </w:r>
      <w:r w:rsidR="00237C3F">
        <w:t>Goods and Services</w:t>
      </w:r>
      <w:r w:rsidR="007F7FFE">
        <w:tab/>
      </w:r>
      <w:r w:rsidR="00592192">
        <w:t>4.4</w:t>
      </w:r>
    </w:p>
    <w:p w:rsidR="00237C3F" w:rsidRDefault="00237C3F">
      <w:r>
        <w:t>Public services</w:t>
      </w:r>
      <w:r w:rsidR="00592192">
        <w:tab/>
      </w:r>
      <w:r w:rsidR="00592192">
        <w:tab/>
      </w:r>
      <w:r w:rsidR="007F7FFE">
        <w:tab/>
      </w:r>
      <w:r w:rsidR="00592192">
        <w:t>2.6</w:t>
      </w:r>
    </w:p>
    <w:p w:rsidR="00592192" w:rsidRDefault="00592192"/>
    <w:p w:rsidR="00592192" w:rsidRDefault="00592192">
      <w:r>
        <w:t>These numbers can be moved about a bit within the total. For example is the fridge food or energy? Is a car trip to the supermarket food or transport?  But they are broadly defensible. Food is a big chunk but if your aim is to reduce personal emissions you will need to attend to all the categories, and some opportunities will be easier than others.</w:t>
      </w:r>
      <w:r w:rsidR="007F7FFE">
        <w:t xml:space="preserve"> You should of course look for opportunities to ‘synergise’, so that activities in one area will also benefit those in another.</w:t>
      </w:r>
    </w:p>
    <w:p w:rsidR="007F7FFE" w:rsidRDefault="007F7FFE"/>
    <w:p w:rsidR="007F7FFE" w:rsidRDefault="007F7FFE">
      <w:r>
        <w:t>I can present these ideas best in the context of a worked example, based on a ten-year experiment ‘rationalising’ a specific house. The idea was (broadly) to invest savings in improving and modernising the performance of the house, then to carry out various trials of ‘sustainable living’ to compare costs (both in cash and personal difficulties) against benefits in terms of metrics such as energy, carbon, waste etc.</w:t>
      </w:r>
    </w:p>
    <w:p w:rsidR="007F7FFE" w:rsidRDefault="007F7FFE"/>
    <w:p w:rsidR="007F7FFE" w:rsidRDefault="007F7FFE">
      <w:r>
        <w:t>A set of rules was drawn up to guide the process and to assist comparability with other such efforts.</w:t>
      </w:r>
      <w:r w:rsidR="00DC256D">
        <w:t xml:space="preserve"> The house/garden system were designed together to make use of scrap materials and optimise productivity. Some dietary principles were set up, and the productive parts of the garden gradually brought on stream. Inputs and outputs were measured periodically. </w:t>
      </w:r>
    </w:p>
    <w:p w:rsidR="00592192" w:rsidRDefault="00592192"/>
    <w:p w:rsidR="00592192" w:rsidRDefault="00DC256D">
      <w:r>
        <w:t xml:space="preserve">It was important to decide how to allocate space for different garden functions. Recreation, waste treatment, habitat, fruit and vegetable production all have a claim, as do results themselves. In some ways we could regard </w:t>
      </w:r>
      <w:r w:rsidRPr="00DC256D">
        <w:rPr>
          <w:i/>
        </w:rPr>
        <w:t>useful results</w:t>
      </w:r>
      <w:r>
        <w:t xml:space="preserve"> as the most valuable yield, because they have the potential to improve performance far beyond this particular household.</w:t>
      </w:r>
    </w:p>
    <w:p w:rsidR="00DC256D" w:rsidRDefault="00DC256D"/>
    <w:p w:rsidR="00DC256D" w:rsidRDefault="009A1D09">
      <w:r>
        <w:t>About 90m2 of land was allocated to fruit and vegetable production in a total area of 210m2. Typical yields displaced about 20% of household food expenditure at organic prices.</w:t>
      </w:r>
    </w:p>
    <w:p w:rsidR="009A1D09" w:rsidRDefault="009A1D09"/>
    <w:p w:rsidR="009A1D09" w:rsidRDefault="009A1D09">
      <w:r>
        <w:t xml:space="preserve">One important principle was that no fertilisers or fertilising material should be brought into the system: only naturally arising </w:t>
      </w:r>
      <w:r w:rsidR="00DD0544">
        <w:t>nutrients should be used. The logic of this is that if most of the food is brought from outside, suitably processed waste should be enough, plus composted grass and garden wastes.</w:t>
      </w:r>
    </w:p>
    <w:p w:rsidR="004B3F8B" w:rsidRDefault="004B3F8B"/>
    <w:p w:rsidR="00193F7D" w:rsidRDefault="00DD0544">
      <w:r>
        <w:t>In GHGE terms, the net result of the experiment was as follows, adjusted for actual income and occupancy:</w:t>
      </w:r>
    </w:p>
    <w:tbl>
      <w:tblPr>
        <w:tblStyle w:val="TableGrid"/>
        <w:tblW w:w="0" w:type="auto"/>
        <w:tblLook w:val="04A0" w:firstRow="1" w:lastRow="0" w:firstColumn="1" w:lastColumn="0" w:noHBand="0" w:noVBand="1"/>
      </w:tblPr>
      <w:tblGrid>
        <w:gridCol w:w="1704"/>
        <w:gridCol w:w="1109"/>
        <w:gridCol w:w="1255"/>
        <w:gridCol w:w="990"/>
        <w:gridCol w:w="3464"/>
      </w:tblGrid>
      <w:tr w:rsidR="00D43FD7" w:rsidTr="00D43FD7">
        <w:tc>
          <w:tcPr>
            <w:tcW w:w="1704" w:type="dxa"/>
          </w:tcPr>
          <w:p w:rsidR="00D43FD7" w:rsidRDefault="00D43FD7">
            <w:r>
              <w:t>GHGE category</w:t>
            </w:r>
          </w:p>
        </w:tc>
        <w:tc>
          <w:tcPr>
            <w:tcW w:w="1109" w:type="dxa"/>
          </w:tcPr>
          <w:p w:rsidR="00D43FD7" w:rsidRDefault="00D43FD7">
            <w:r>
              <w:t>Expected GHGE</w:t>
            </w:r>
          </w:p>
        </w:tc>
        <w:tc>
          <w:tcPr>
            <w:tcW w:w="1255" w:type="dxa"/>
          </w:tcPr>
          <w:p w:rsidR="00D43FD7" w:rsidRDefault="00D43FD7">
            <w:r>
              <w:t>Calculated GHGE</w:t>
            </w:r>
          </w:p>
        </w:tc>
        <w:tc>
          <w:tcPr>
            <w:tcW w:w="990" w:type="dxa"/>
          </w:tcPr>
          <w:p w:rsidR="00D43FD7" w:rsidRDefault="00D43FD7">
            <w:r>
              <w:t>% change</w:t>
            </w:r>
          </w:p>
        </w:tc>
        <w:tc>
          <w:tcPr>
            <w:tcW w:w="3464" w:type="dxa"/>
          </w:tcPr>
          <w:p w:rsidR="00D43FD7" w:rsidRDefault="00D43FD7">
            <w:r>
              <w:t>Principal measures</w:t>
            </w:r>
          </w:p>
        </w:tc>
      </w:tr>
      <w:tr w:rsidR="00D43FD7" w:rsidTr="00076D5A">
        <w:tc>
          <w:tcPr>
            <w:tcW w:w="1704" w:type="dxa"/>
            <w:vAlign w:val="center"/>
          </w:tcPr>
          <w:p w:rsidR="00D43FD7" w:rsidRDefault="00D43FD7" w:rsidP="00076D5A">
            <w:r>
              <w:t>House energy</w:t>
            </w:r>
          </w:p>
        </w:tc>
        <w:tc>
          <w:tcPr>
            <w:tcW w:w="1109" w:type="dxa"/>
            <w:vAlign w:val="center"/>
          </w:tcPr>
          <w:p w:rsidR="00D43FD7" w:rsidRDefault="00D43FD7" w:rsidP="00076D5A">
            <w:pPr>
              <w:jc w:val="center"/>
            </w:pPr>
            <w:r>
              <w:t>2.3</w:t>
            </w:r>
          </w:p>
        </w:tc>
        <w:tc>
          <w:tcPr>
            <w:tcW w:w="1255" w:type="dxa"/>
            <w:vAlign w:val="center"/>
          </w:tcPr>
          <w:p w:rsidR="00D43FD7" w:rsidRDefault="00D43FD7" w:rsidP="00076D5A">
            <w:pPr>
              <w:jc w:val="center"/>
            </w:pPr>
            <w:r>
              <w:t>1.8</w:t>
            </w:r>
          </w:p>
        </w:tc>
        <w:tc>
          <w:tcPr>
            <w:tcW w:w="990" w:type="dxa"/>
            <w:vAlign w:val="center"/>
          </w:tcPr>
          <w:p w:rsidR="00D43FD7" w:rsidRPr="00076D5A" w:rsidRDefault="00D43FD7" w:rsidP="00076D5A">
            <w:pPr>
              <w:jc w:val="center"/>
              <w:rPr>
                <w:b/>
              </w:rPr>
            </w:pPr>
            <w:r w:rsidRPr="00076D5A">
              <w:rPr>
                <w:b/>
              </w:rPr>
              <w:t>-20</w:t>
            </w:r>
          </w:p>
        </w:tc>
        <w:tc>
          <w:tcPr>
            <w:tcW w:w="3464" w:type="dxa"/>
          </w:tcPr>
          <w:p w:rsidR="00D43FD7" w:rsidRDefault="00D43FD7">
            <w:r>
              <w:t>Low temperature, insulation</w:t>
            </w:r>
            <w:r w:rsidR="00076D5A">
              <w:t>, heating controls</w:t>
            </w:r>
          </w:p>
        </w:tc>
      </w:tr>
      <w:tr w:rsidR="00D43FD7" w:rsidTr="00076D5A">
        <w:tc>
          <w:tcPr>
            <w:tcW w:w="1704" w:type="dxa"/>
            <w:vAlign w:val="center"/>
          </w:tcPr>
          <w:p w:rsidR="00D43FD7" w:rsidRDefault="00D43FD7" w:rsidP="00076D5A">
            <w:r>
              <w:t>Travel</w:t>
            </w:r>
          </w:p>
        </w:tc>
        <w:tc>
          <w:tcPr>
            <w:tcW w:w="1109" w:type="dxa"/>
            <w:vAlign w:val="center"/>
          </w:tcPr>
          <w:p w:rsidR="00D43FD7" w:rsidRDefault="00D43FD7" w:rsidP="00076D5A">
            <w:pPr>
              <w:jc w:val="center"/>
            </w:pPr>
            <w:r>
              <w:t>3.6</w:t>
            </w:r>
          </w:p>
        </w:tc>
        <w:tc>
          <w:tcPr>
            <w:tcW w:w="1255" w:type="dxa"/>
            <w:vAlign w:val="center"/>
          </w:tcPr>
          <w:p w:rsidR="00D43FD7" w:rsidRDefault="00D43FD7" w:rsidP="00076D5A">
            <w:pPr>
              <w:jc w:val="center"/>
            </w:pPr>
            <w:r>
              <w:t>1.9</w:t>
            </w:r>
          </w:p>
        </w:tc>
        <w:tc>
          <w:tcPr>
            <w:tcW w:w="990" w:type="dxa"/>
            <w:vAlign w:val="center"/>
          </w:tcPr>
          <w:p w:rsidR="00D43FD7" w:rsidRPr="00076D5A" w:rsidRDefault="00D43FD7" w:rsidP="00076D5A">
            <w:pPr>
              <w:jc w:val="center"/>
              <w:rPr>
                <w:b/>
              </w:rPr>
            </w:pPr>
            <w:r w:rsidRPr="00076D5A">
              <w:rPr>
                <w:b/>
              </w:rPr>
              <w:t>-55</w:t>
            </w:r>
          </w:p>
        </w:tc>
        <w:tc>
          <w:tcPr>
            <w:tcW w:w="3464" w:type="dxa"/>
          </w:tcPr>
          <w:p w:rsidR="00D43FD7" w:rsidRDefault="00D43FD7">
            <w:r>
              <w:t>No flying, no car, car club</w:t>
            </w:r>
          </w:p>
        </w:tc>
      </w:tr>
      <w:tr w:rsidR="00D43FD7" w:rsidTr="00076D5A">
        <w:tc>
          <w:tcPr>
            <w:tcW w:w="1704" w:type="dxa"/>
            <w:vAlign w:val="center"/>
          </w:tcPr>
          <w:p w:rsidR="00D43FD7" w:rsidRDefault="00D43FD7" w:rsidP="00076D5A">
            <w:r>
              <w:t>Food</w:t>
            </w:r>
          </w:p>
        </w:tc>
        <w:tc>
          <w:tcPr>
            <w:tcW w:w="1109" w:type="dxa"/>
            <w:vAlign w:val="center"/>
          </w:tcPr>
          <w:p w:rsidR="00D43FD7" w:rsidRDefault="00D43FD7" w:rsidP="00076D5A">
            <w:pPr>
              <w:jc w:val="center"/>
            </w:pPr>
            <w:r>
              <w:t>3.1</w:t>
            </w:r>
          </w:p>
        </w:tc>
        <w:tc>
          <w:tcPr>
            <w:tcW w:w="1255" w:type="dxa"/>
            <w:vAlign w:val="center"/>
          </w:tcPr>
          <w:p w:rsidR="00D43FD7" w:rsidRDefault="00D43FD7" w:rsidP="00076D5A">
            <w:pPr>
              <w:jc w:val="center"/>
            </w:pPr>
            <w:r>
              <w:t>0.8</w:t>
            </w:r>
          </w:p>
        </w:tc>
        <w:tc>
          <w:tcPr>
            <w:tcW w:w="990" w:type="dxa"/>
            <w:vAlign w:val="center"/>
          </w:tcPr>
          <w:p w:rsidR="00D43FD7" w:rsidRPr="00076D5A" w:rsidRDefault="00D43FD7" w:rsidP="00076D5A">
            <w:pPr>
              <w:jc w:val="center"/>
              <w:rPr>
                <w:b/>
              </w:rPr>
            </w:pPr>
            <w:r w:rsidRPr="00076D5A">
              <w:rPr>
                <w:b/>
              </w:rPr>
              <w:t>-74</w:t>
            </w:r>
          </w:p>
        </w:tc>
        <w:tc>
          <w:tcPr>
            <w:tcW w:w="3464" w:type="dxa"/>
          </w:tcPr>
          <w:p w:rsidR="00D43FD7" w:rsidRDefault="00D43FD7">
            <w:r>
              <w:t>Change of diet and food habits</w:t>
            </w:r>
            <w:r w:rsidR="00076D5A">
              <w:t>.</w:t>
            </w:r>
          </w:p>
          <w:p w:rsidR="00076D5A" w:rsidRDefault="00076D5A" w:rsidP="00076D5A">
            <w:r>
              <w:t>Possibly 5% directly attributable to home production</w:t>
            </w:r>
          </w:p>
        </w:tc>
      </w:tr>
      <w:tr w:rsidR="00D43FD7" w:rsidTr="00076D5A">
        <w:tc>
          <w:tcPr>
            <w:tcW w:w="1704" w:type="dxa"/>
            <w:vAlign w:val="center"/>
          </w:tcPr>
          <w:p w:rsidR="00D43FD7" w:rsidRDefault="00D43FD7" w:rsidP="00076D5A">
            <w:r>
              <w:t>Goods and services</w:t>
            </w:r>
          </w:p>
        </w:tc>
        <w:tc>
          <w:tcPr>
            <w:tcW w:w="1109" w:type="dxa"/>
            <w:vAlign w:val="center"/>
          </w:tcPr>
          <w:p w:rsidR="00D43FD7" w:rsidRDefault="00D43FD7" w:rsidP="00076D5A">
            <w:pPr>
              <w:jc w:val="center"/>
            </w:pPr>
            <w:r>
              <w:t>3.1</w:t>
            </w:r>
          </w:p>
        </w:tc>
        <w:tc>
          <w:tcPr>
            <w:tcW w:w="1255" w:type="dxa"/>
            <w:vAlign w:val="center"/>
          </w:tcPr>
          <w:p w:rsidR="00D43FD7" w:rsidRDefault="00D43FD7" w:rsidP="00076D5A">
            <w:pPr>
              <w:jc w:val="center"/>
            </w:pPr>
            <w:r>
              <w:t>1.8</w:t>
            </w:r>
          </w:p>
        </w:tc>
        <w:tc>
          <w:tcPr>
            <w:tcW w:w="990" w:type="dxa"/>
            <w:vAlign w:val="center"/>
          </w:tcPr>
          <w:p w:rsidR="00D43FD7" w:rsidRPr="00076D5A" w:rsidRDefault="00D43FD7" w:rsidP="00076D5A">
            <w:pPr>
              <w:jc w:val="center"/>
              <w:rPr>
                <w:b/>
              </w:rPr>
            </w:pPr>
            <w:r w:rsidRPr="00076D5A">
              <w:rPr>
                <w:b/>
              </w:rPr>
              <w:t>-41</w:t>
            </w:r>
          </w:p>
        </w:tc>
        <w:tc>
          <w:tcPr>
            <w:tcW w:w="3464" w:type="dxa"/>
          </w:tcPr>
          <w:p w:rsidR="00D43FD7" w:rsidRDefault="00D43FD7" w:rsidP="00D43FD7">
            <w:r>
              <w:t>Switch to lower-intensity purchases</w:t>
            </w:r>
          </w:p>
        </w:tc>
      </w:tr>
      <w:tr w:rsidR="00D43FD7" w:rsidTr="00076D5A">
        <w:tc>
          <w:tcPr>
            <w:tcW w:w="1704" w:type="dxa"/>
            <w:vAlign w:val="center"/>
          </w:tcPr>
          <w:p w:rsidR="00D43FD7" w:rsidRDefault="00D43FD7" w:rsidP="00076D5A">
            <w:r>
              <w:t>Public services</w:t>
            </w:r>
          </w:p>
        </w:tc>
        <w:tc>
          <w:tcPr>
            <w:tcW w:w="1109" w:type="dxa"/>
            <w:vAlign w:val="center"/>
          </w:tcPr>
          <w:p w:rsidR="00D43FD7" w:rsidRDefault="00D43FD7" w:rsidP="00076D5A">
            <w:pPr>
              <w:jc w:val="center"/>
            </w:pPr>
            <w:r>
              <w:t>2.6</w:t>
            </w:r>
          </w:p>
        </w:tc>
        <w:tc>
          <w:tcPr>
            <w:tcW w:w="1255" w:type="dxa"/>
            <w:vAlign w:val="center"/>
          </w:tcPr>
          <w:p w:rsidR="00D43FD7" w:rsidRDefault="00D43FD7" w:rsidP="00076D5A">
            <w:pPr>
              <w:jc w:val="center"/>
            </w:pPr>
            <w:r>
              <w:t>2.8</w:t>
            </w:r>
          </w:p>
        </w:tc>
        <w:tc>
          <w:tcPr>
            <w:tcW w:w="990" w:type="dxa"/>
            <w:vAlign w:val="center"/>
          </w:tcPr>
          <w:p w:rsidR="00D43FD7" w:rsidRPr="00076D5A" w:rsidRDefault="00D43FD7" w:rsidP="00076D5A">
            <w:pPr>
              <w:jc w:val="center"/>
              <w:rPr>
                <w:b/>
              </w:rPr>
            </w:pPr>
            <w:r w:rsidRPr="00076D5A">
              <w:rPr>
                <w:b/>
              </w:rPr>
              <w:t>+8</w:t>
            </w:r>
          </w:p>
        </w:tc>
        <w:tc>
          <w:tcPr>
            <w:tcW w:w="3464" w:type="dxa"/>
          </w:tcPr>
          <w:p w:rsidR="00D43FD7" w:rsidRDefault="00D43FD7">
            <w:r>
              <w:t>Below average income</w:t>
            </w:r>
          </w:p>
        </w:tc>
      </w:tr>
      <w:tr w:rsidR="00D43FD7" w:rsidTr="00076D5A">
        <w:tc>
          <w:tcPr>
            <w:tcW w:w="1704" w:type="dxa"/>
            <w:vAlign w:val="center"/>
          </w:tcPr>
          <w:p w:rsidR="00D43FD7" w:rsidRDefault="00D43FD7" w:rsidP="00076D5A">
            <w:r>
              <w:lastRenderedPageBreak/>
              <w:t>TOTAL</w:t>
            </w:r>
          </w:p>
        </w:tc>
        <w:tc>
          <w:tcPr>
            <w:tcW w:w="1109" w:type="dxa"/>
          </w:tcPr>
          <w:p w:rsidR="00D43FD7" w:rsidRDefault="00D43FD7">
            <w:r>
              <w:t>14.74</w:t>
            </w:r>
          </w:p>
        </w:tc>
        <w:tc>
          <w:tcPr>
            <w:tcW w:w="1255" w:type="dxa"/>
          </w:tcPr>
          <w:p w:rsidR="00D43FD7" w:rsidRDefault="00D43FD7">
            <w:r>
              <w:t>8.7</w:t>
            </w:r>
          </w:p>
        </w:tc>
        <w:tc>
          <w:tcPr>
            <w:tcW w:w="990" w:type="dxa"/>
          </w:tcPr>
          <w:p w:rsidR="00D43FD7" w:rsidRPr="00076D5A" w:rsidRDefault="00D43FD7">
            <w:pPr>
              <w:rPr>
                <w:b/>
              </w:rPr>
            </w:pPr>
            <w:r w:rsidRPr="00076D5A">
              <w:rPr>
                <w:b/>
              </w:rPr>
              <w:t>-41</w:t>
            </w:r>
          </w:p>
        </w:tc>
        <w:tc>
          <w:tcPr>
            <w:tcW w:w="3464" w:type="dxa"/>
          </w:tcPr>
          <w:p w:rsidR="00D43FD7" w:rsidRDefault="00D43FD7"/>
        </w:tc>
      </w:tr>
    </w:tbl>
    <w:p w:rsidR="00D43FD7" w:rsidRDefault="00D43FD7"/>
    <w:p w:rsidR="00DD0544" w:rsidRDefault="00DD0544"/>
    <w:sectPr w:rsidR="00DD054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791BEC"/>
    <w:multiLevelType w:val="hybridMultilevel"/>
    <w:tmpl w:val="7278CEEC"/>
    <w:lvl w:ilvl="0" w:tplc="45261AF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367273A"/>
    <w:multiLevelType w:val="hybridMultilevel"/>
    <w:tmpl w:val="2E30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DE058B2"/>
    <w:multiLevelType w:val="hybridMultilevel"/>
    <w:tmpl w:val="4EF804CC"/>
    <w:lvl w:ilvl="0" w:tplc="D0A6257C">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F275679"/>
    <w:multiLevelType w:val="hybridMultilevel"/>
    <w:tmpl w:val="468E1448"/>
    <w:lvl w:ilvl="0" w:tplc="45261AF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D4C"/>
    <w:rsid w:val="000340A8"/>
    <w:rsid w:val="00076D5A"/>
    <w:rsid w:val="0008173E"/>
    <w:rsid w:val="000864A4"/>
    <w:rsid w:val="000E67A7"/>
    <w:rsid w:val="00155D7B"/>
    <w:rsid w:val="00170C24"/>
    <w:rsid w:val="00193F7D"/>
    <w:rsid w:val="001B6263"/>
    <w:rsid w:val="001F0D70"/>
    <w:rsid w:val="00206AC1"/>
    <w:rsid w:val="00213F2B"/>
    <w:rsid w:val="00225578"/>
    <w:rsid w:val="00237C3F"/>
    <w:rsid w:val="002423DB"/>
    <w:rsid w:val="0027542D"/>
    <w:rsid w:val="002D587B"/>
    <w:rsid w:val="002E23BB"/>
    <w:rsid w:val="00302C03"/>
    <w:rsid w:val="00303F72"/>
    <w:rsid w:val="00306FB7"/>
    <w:rsid w:val="00312F53"/>
    <w:rsid w:val="003475AC"/>
    <w:rsid w:val="003D2941"/>
    <w:rsid w:val="003F5575"/>
    <w:rsid w:val="004217DA"/>
    <w:rsid w:val="00422EA1"/>
    <w:rsid w:val="004247D7"/>
    <w:rsid w:val="00434701"/>
    <w:rsid w:val="00465243"/>
    <w:rsid w:val="004B1271"/>
    <w:rsid w:val="004B3F8B"/>
    <w:rsid w:val="004B60AD"/>
    <w:rsid w:val="00501D4C"/>
    <w:rsid w:val="00502E9A"/>
    <w:rsid w:val="005531B3"/>
    <w:rsid w:val="00557B0D"/>
    <w:rsid w:val="0056090B"/>
    <w:rsid w:val="00592192"/>
    <w:rsid w:val="005932C8"/>
    <w:rsid w:val="005A3B55"/>
    <w:rsid w:val="005C3BF7"/>
    <w:rsid w:val="005D4DB2"/>
    <w:rsid w:val="00603F72"/>
    <w:rsid w:val="006372B9"/>
    <w:rsid w:val="0068097D"/>
    <w:rsid w:val="006B0023"/>
    <w:rsid w:val="00701880"/>
    <w:rsid w:val="007603E8"/>
    <w:rsid w:val="0077201A"/>
    <w:rsid w:val="00794DCE"/>
    <w:rsid w:val="007A71A8"/>
    <w:rsid w:val="007E7B9B"/>
    <w:rsid w:val="007F7FFE"/>
    <w:rsid w:val="00800FC6"/>
    <w:rsid w:val="00833435"/>
    <w:rsid w:val="00833AE6"/>
    <w:rsid w:val="008B5D52"/>
    <w:rsid w:val="008C454B"/>
    <w:rsid w:val="008D6BE7"/>
    <w:rsid w:val="008F08CA"/>
    <w:rsid w:val="00914119"/>
    <w:rsid w:val="00915528"/>
    <w:rsid w:val="00917A36"/>
    <w:rsid w:val="00924D4D"/>
    <w:rsid w:val="00950C83"/>
    <w:rsid w:val="00975BB0"/>
    <w:rsid w:val="009771B3"/>
    <w:rsid w:val="00986D6E"/>
    <w:rsid w:val="00993E1A"/>
    <w:rsid w:val="009A1D09"/>
    <w:rsid w:val="009E79E7"/>
    <w:rsid w:val="00A07F95"/>
    <w:rsid w:val="00A35445"/>
    <w:rsid w:val="00A35CCF"/>
    <w:rsid w:val="00A759D8"/>
    <w:rsid w:val="00A92629"/>
    <w:rsid w:val="00A976B3"/>
    <w:rsid w:val="00AA06EE"/>
    <w:rsid w:val="00AC3CBF"/>
    <w:rsid w:val="00AE6DD7"/>
    <w:rsid w:val="00B569F0"/>
    <w:rsid w:val="00B56B92"/>
    <w:rsid w:val="00BD1445"/>
    <w:rsid w:val="00BE625C"/>
    <w:rsid w:val="00C0053D"/>
    <w:rsid w:val="00C10896"/>
    <w:rsid w:val="00C203CC"/>
    <w:rsid w:val="00C94776"/>
    <w:rsid w:val="00CB5A3C"/>
    <w:rsid w:val="00CE2B23"/>
    <w:rsid w:val="00D13B63"/>
    <w:rsid w:val="00D43FD7"/>
    <w:rsid w:val="00D53D53"/>
    <w:rsid w:val="00D6608B"/>
    <w:rsid w:val="00D83245"/>
    <w:rsid w:val="00DA2E9E"/>
    <w:rsid w:val="00DC256D"/>
    <w:rsid w:val="00DD0544"/>
    <w:rsid w:val="00E16BEB"/>
    <w:rsid w:val="00E20C4F"/>
    <w:rsid w:val="00E817E5"/>
    <w:rsid w:val="00E93CF7"/>
    <w:rsid w:val="00E94502"/>
    <w:rsid w:val="00EE7869"/>
    <w:rsid w:val="00F10AF9"/>
    <w:rsid w:val="00F40D4B"/>
    <w:rsid w:val="00F600AE"/>
    <w:rsid w:val="00F65288"/>
    <w:rsid w:val="00F66A17"/>
    <w:rsid w:val="00F92EE5"/>
    <w:rsid w:val="00FB3AD8"/>
    <w:rsid w:val="00FF5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DD7"/>
    <w:rPr>
      <w:rFonts w:ascii="Tahoma" w:hAnsi="Tahoma" w:cs="Tahoma"/>
      <w:sz w:val="16"/>
      <w:szCs w:val="16"/>
    </w:rPr>
  </w:style>
  <w:style w:type="character" w:customStyle="1" w:styleId="BalloonTextChar">
    <w:name w:val="Balloon Text Char"/>
    <w:basedOn w:val="DefaultParagraphFont"/>
    <w:link w:val="BalloonText"/>
    <w:uiPriority w:val="99"/>
    <w:semiHidden/>
    <w:rsid w:val="00AE6DD7"/>
    <w:rPr>
      <w:rFonts w:ascii="Tahoma" w:hAnsi="Tahoma" w:cs="Tahoma"/>
      <w:sz w:val="16"/>
      <w:szCs w:val="16"/>
      <w:lang w:eastAsia="ja-JP"/>
    </w:rPr>
  </w:style>
  <w:style w:type="table" w:styleId="TableGrid">
    <w:name w:val="Table Grid"/>
    <w:basedOn w:val="TableNormal"/>
    <w:uiPriority w:val="59"/>
    <w:rsid w:val="0030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2C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DD7"/>
    <w:rPr>
      <w:rFonts w:ascii="Tahoma" w:hAnsi="Tahoma" w:cs="Tahoma"/>
      <w:sz w:val="16"/>
      <w:szCs w:val="16"/>
    </w:rPr>
  </w:style>
  <w:style w:type="character" w:customStyle="1" w:styleId="BalloonTextChar">
    <w:name w:val="Balloon Text Char"/>
    <w:basedOn w:val="DefaultParagraphFont"/>
    <w:link w:val="BalloonText"/>
    <w:uiPriority w:val="99"/>
    <w:semiHidden/>
    <w:rsid w:val="00AE6DD7"/>
    <w:rPr>
      <w:rFonts w:ascii="Tahoma" w:hAnsi="Tahoma" w:cs="Tahoma"/>
      <w:sz w:val="16"/>
      <w:szCs w:val="16"/>
      <w:lang w:eastAsia="ja-JP"/>
    </w:rPr>
  </w:style>
  <w:style w:type="table" w:styleId="TableGrid">
    <w:name w:val="Table Grid"/>
    <w:basedOn w:val="TableNormal"/>
    <w:uiPriority w:val="59"/>
    <w:rsid w:val="0030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2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4.xml"/><Relationship Id="rId18" Type="http://schemas.openxmlformats.org/officeDocument/2006/relationships/chart" Target="charts/chart9.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chart" Target="charts/chart1.xml"/><Relationship Id="rId12" Type="http://schemas.openxmlformats.org/officeDocument/2006/relationships/oleObject" Target="embeddings/oleObject1.bin"/><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er%20Harper\Documents\ZCB3\LAND%20USE%20ISSUES\WORKING%20DOCS%20ON%20FOOD%20AND%20LAND\Condensed%20Land%20Use%20Modelling%20Spreadsheet%20Version%20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er%20Harper\Documents\ZCB3\LAND%20USE%20ISSUES\WORKING%20DOCS%20ON%20FOOD%20AND%20LAND\Condensed%20Land%20Use%20Modelling%20Spreadsheet%20Version%204.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eter%20Harper\Documents\ZCB3\LAND%20USE%20ISSUES\WORKING%20DOCS%20ON%20FOOD%20AND%20LAND\Food%20and%20Land%20use%20sheets%20V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ter%20Harper\Documents\ZCB3\LAND%20USE%20ISSUES\WORKING%20DOCS%20ON%20FOOD%20AND%20LAND\Food%20and%20Land%20use%20sheets%20V4.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eter%20Harper\Documents\ZCB3\LAND%20USE%20ISSUES\WORKING%20DOCS%20ON%20FOOD%20AND%20LAND\Latest%20New%20diet%20modelling%20sheets%20-%20ZCB%20diet%20trial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eter%20Harper\Documents\ZCB3\LAND%20USE%20ISSUES\WORKING%20DOCS%20ON%20FOOD%20AND%20LAND\Condensed%20Land%20Use%20Modelling%20Spreadsheet%20Version%206%20for%20partition%20calc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ter%20Harper\Documents\ZCB3\LAND%20USE%20ISSUES\WORKING%20DOCS%20ON%20FOOD%20AND%20LAND\Food%20and%20Land%20use%20sheets%20V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GHG Emissions</a:t>
            </a:r>
          </a:p>
          <a:p>
            <a:pPr>
              <a:defRPr sz="1050"/>
            </a:pPr>
            <a:r>
              <a:rPr lang="en-US" sz="1050"/>
              <a:t> from the </a:t>
            </a:r>
          </a:p>
          <a:p>
            <a:pPr>
              <a:defRPr sz="1050"/>
            </a:pPr>
            <a:r>
              <a:rPr lang="en-US" sz="1050"/>
              <a:t>UK food supply system, </a:t>
            </a:r>
          </a:p>
          <a:p>
            <a:pPr>
              <a:defRPr sz="1050"/>
            </a:pPr>
            <a:r>
              <a:rPr lang="en-US" sz="1050"/>
              <a:t>MtCO2e/y</a:t>
            </a:r>
          </a:p>
        </c:rich>
      </c:tx>
      <c:layout>
        <c:manualLayout>
          <c:xMode val="edge"/>
          <c:yMode val="edge"/>
          <c:x val="0.5812689901697945"/>
          <c:y val="5.5555610450668008E-2"/>
        </c:manualLayout>
      </c:layout>
      <c:overlay val="1"/>
    </c:title>
    <c:autoTitleDeleted val="0"/>
    <c:plotArea>
      <c:layout>
        <c:manualLayout>
          <c:layoutTarget val="inner"/>
          <c:xMode val="edge"/>
          <c:yMode val="edge"/>
          <c:x val="6.5340679600036589E-2"/>
          <c:y val="6.9019624892913356E-2"/>
          <c:w val="0.4910633087754111"/>
          <c:h val="0.86196075021417329"/>
        </c:manualLayout>
      </c:layout>
      <c:pieChart>
        <c:varyColors val="1"/>
        <c:ser>
          <c:idx val="0"/>
          <c:order val="0"/>
          <c:dPt>
            <c:idx val="0"/>
            <c:bubble3D val="0"/>
            <c:spPr>
              <a:solidFill>
                <a:schemeClr val="accent3">
                  <a:lumMod val="75000"/>
                </a:schemeClr>
              </a:solidFill>
            </c:spPr>
          </c:dPt>
          <c:dPt>
            <c:idx val="1"/>
            <c:bubble3D val="0"/>
            <c:spPr>
              <a:solidFill>
                <a:srgbClr val="C00000"/>
              </a:solidFill>
            </c:spPr>
          </c:dPt>
          <c:dPt>
            <c:idx val="2"/>
            <c:bubble3D val="0"/>
            <c:spPr>
              <a:ln>
                <a:solidFill>
                  <a:schemeClr val="accent3">
                    <a:lumMod val="20000"/>
                    <a:lumOff val="80000"/>
                  </a:schemeClr>
                </a:solidFill>
              </a:ln>
            </c:spPr>
          </c:dPt>
          <c:dLbls>
            <c:dLblPos val="ctr"/>
            <c:showLegendKey val="0"/>
            <c:showVal val="1"/>
            <c:showCatName val="0"/>
            <c:showSerName val="0"/>
            <c:showPercent val="0"/>
            <c:showBubbleSize val="0"/>
            <c:showLeaderLines val="1"/>
          </c:dLbls>
          <c:cat>
            <c:strRef>
              <c:f>Sheet3!$E$10:$E$12</c:f>
              <c:strCache>
                <c:ptCount val="3"/>
                <c:pt idx="0">
                  <c:v>Agriculture in UK</c:v>
                </c:pt>
                <c:pt idx="1">
                  <c:v>Processing and consumption</c:v>
                </c:pt>
                <c:pt idx="2">
                  <c:v>Food imports</c:v>
                </c:pt>
              </c:strCache>
            </c:strRef>
          </c:cat>
          <c:val>
            <c:numRef>
              <c:f>Sheet3!$H$10:$H$12</c:f>
              <c:numCache>
                <c:formatCode>General</c:formatCode>
                <c:ptCount val="3"/>
                <c:pt idx="0">
                  <c:v>63.4</c:v>
                </c:pt>
                <c:pt idx="1">
                  <c:v>61</c:v>
                </c:pt>
                <c:pt idx="2">
                  <c:v>29</c:v>
                </c:pt>
              </c:numCache>
            </c:numRef>
          </c:val>
        </c:ser>
        <c:dLbls>
          <c:dLblPos val="ctr"/>
          <c:showLegendKey val="0"/>
          <c:showVal val="1"/>
          <c:showCatName val="0"/>
          <c:showSerName val="0"/>
          <c:showPercent val="0"/>
          <c:showBubbleSize val="0"/>
          <c:showLeaderLines val="1"/>
        </c:dLbls>
        <c:firstSliceAng val="0"/>
      </c:pieChart>
    </c:plotArea>
    <c:legend>
      <c:legendPos val="r"/>
      <c:layout>
        <c:manualLayout>
          <c:xMode val="edge"/>
          <c:yMode val="edge"/>
          <c:x val="0.62234660000159236"/>
          <c:y val="0.49747603999976897"/>
          <c:w val="0.30663092046470064"/>
          <c:h val="0.49880784284275875"/>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UK GHG Emissions</a:t>
            </a:r>
          </a:p>
          <a:p>
            <a:pPr>
              <a:defRPr sz="800"/>
            </a:pPr>
            <a:r>
              <a:rPr lang="en-US" sz="800"/>
              <a:t> from the food system, </a:t>
            </a:r>
          </a:p>
          <a:p>
            <a:pPr>
              <a:defRPr sz="800"/>
            </a:pPr>
            <a:r>
              <a:rPr lang="en-US" sz="800"/>
              <a:t>before and after </a:t>
            </a:r>
          </a:p>
          <a:p>
            <a:pPr>
              <a:defRPr sz="800"/>
            </a:pPr>
            <a:r>
              <a:rPr lang="en-US" sz="800"/>
              <a:t>decarbonisation.</a:t>
            </a:r>
          </a:p>
          <a:p>
            <a:pPr>
              <a:defRPr sz="800"/>
            </a:pPr>
            <a:r>
              <a:rPr lang="en-US" sz="800"/>
              <a:t>From</a:t>
            </a:r>
            <a:r>
              <a:rPr lang="en-US" sz="800" baseline="0"/>
              <a:t> 152MtCO2e </a:t>
            </a:r>
          </a:p>
          <a:p>
            <a:pPr>
              <a:defRPr sz="800"/>
            </a:pPr>
            <a:r>
              <a:rPr lang="en-US" sz="800" baseline="0"/>
              <a:t>to 17MtCO2e</a:t>
            </a:r>
            <a:endParaRPr lang="en-US" sz="800"/>
          </a:p>
        </c:rich>
      </c:tx>
      <c:layout>
        <c:manualLayout>
          <c:xMode val="edge"/>
          <c:yMode val="edge"/>
          <c:x val="0.6371894138232721"/>
          <c:y val="0.36846279847386071"/>
        </c:manualLayout>
      </c:layout>
      <c:overlay val="1"/>
    </c:title>
    <c:autoTitleDeleted val="0"/>
    <c:plotArea>
      <c:layout>
        <c:manualLayout>
          <c:layoutTarget val="inner"/>
          <c:xMode val="edge"/>
          <c:yMode val="edge"/>
          <c:x val="7.8230737009566439E-2"/>
          <c:y val="9.5173909991190714E-2"/>
          <c:w val="0.48690476190476184"/>
          <c:h val="0.78177763618986928"/>
        </c:manualLayout>
      </c:layout>
      <c:pieChart>
        <c:varyColors val="1"/>
        <c:ser>
          <c:idx val="0"/>
          <c:order val="0"/>
          <c:spPr>
            <a:ln>
              <a:solidFill>
                <a:schemeClr val="tx1"/>
              </a:solidFill>
            </a:ln>
          </c:spPr>
          <c:dPt>
            <c:idx val="0"/>
            <c:bubble3D val="0"/>
            <c:explosion val="12"/>
            <c:spPr>
              <a:solidFill>
                <a:srgbClr val="00FF00"/>
              </a:solidFill>
              <a:ln>
                <a:solidFill>
                  <a:schemeClr val="tx1"/>
                </a:solidFill>
              </a:ln>
            </c:spPr>
          </c:dPt>
          <c:dPt>
            <c:idx val="1"/>
            <c:bubble3D val="0"/>
            <c:spPr>
              <a:solidFill>
                <a:schemeClr val="accent3">
                  <a:lumMod val="75000"/>
                </a:schemeClr>
              </a:solidFill>
              <a:ln>
                <a:solidFill>
                  <a:schemeClr val="tx1"/>
                </a:solidFill>
              </a:ln>
            </c:spPr>
          </c:dPt>
          <c:dPt>
            <c:idx val="2"/>
            <c:bubble3D val="0"/>
            <c:spPr>
              <a:solidFill>
                <a:srgbClr val="C00000"/>
              </a:solidFill>
              <a:ln>
                <a:solidFill>
                  <a:schemeClr val="tx1"/>
                </a:solidFill>
              </a:ln>
            </c:spPr>
          </c:dPt>
          <c:dPt>
            <c:idx val="3"/>
            <c:bubble3D val="0"/>
            <c:spPr>
              <a:solidFill>
                <a:schemeClr val="accent3">
                  <a:lumMod val="60000"/>
                  <a:lumOff val="40000"/>
                </a:schemeClr>
              </a:solidFill>
              <a:ln>
                <a:solidFill>
                  <a:schemeClr val="tx1"/>
                </a:solidFill>
              </a:ln>
            </c:spPr>
          </c:dPt>
          <c:dPt>
            <c:idx val="4"/>
            <c:bubble3D val="0"/>
            <c:explosion val="12"/>
            <c:spPr>
              <a:solidFill>
                <a:schemeClr val="accent3">
                  <a:lumMod val="50000"/>
                </a:schemeClr>
              </a:solidFill>
              <a:ln>
                <a:solidFill>
                  <a:schemeClr val="tx1"/>
                </a:solidFill>
              </a:ln>
            </c:spPr>
          </c:dPt>
          <c:dLbls>
            <c:txPr>
              <a:bodyPr/>
              <a:lstStyle/>
              <a:p>
                <a:pPr>
                  <a:defRPr sz="700"/>
                </a:pPr>
                <a:endParaRPr lang="en-US"/>
              </a:p>
            </c:txPr>
            <c:dLblPos val="bestFit"/>
            <c:showLegendKey val="0"/>
            <c:showVal val="0"/>
            <c:showCatName val="1"/>
            <c:showSerName val="0"/>
            <c:showPercent val="0"/>
            <c:showBubbleSize val="0"/>
            <c:showLeaderLines val="1"/>
          </c:dLbls>
          <c:cat>
            <c:strRef>
              <c:f>Sheet3!$I$4:$I$8</c:f>
              <c:strCache>
                <c:ptCount val="5"/>
                <c:pt idx="0">
                  <c:v>UK agriculture emissions after 2030</c:v>
                </c:pt>
                <c:pt idx="1">
                  <c:v>Reduction in UK production emissions</c:v>
                </c:pt>
                <c:pt idx="2">
                  <c:v>Reduction in food processing emissions</c:v>
                </c:pt>
                <c:pt idx="3">
                  <c:v>Reduction in import emissions</c:v>
                </c:pt>
                <c:pt idx="4">
                  <c:v>Imports after 2030</c:v>
                </c:pt>
              </c:strCache>
            </c:strRef>
          </c:cat>
          <c:val>
            <c:numRef>
              <c:f>Sheet3!$J$4:$J$8</c:f>
              <c:numCache>
                <c:formatCode>General</c:formatCode>
                <c:ptCount val="5"/>
                <c:pt idx="0">
                  <c:v>13</c:v>
                </c:pt>
                <c:pt idx="1">
                  <c:v>50</c:v>
                </c:pt>
                <c:pt idx="2">
                  <c:v>59.6</c:v>
                </c:pt>
                <c:pt idx="3">
                  <c:v>26.4</c:v>
                </c:pt>
                <c:pt idx="4">
                  <c:v>2.6</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GB" sz="900"/>
              <a:t>OUTPUT</a:t>
            </a:r>
            <a:r>
              <a:rPr lang="en-GB" sz="900" baseline="0"/>
              <a:t> OF FOOD COMMODITIES AND ASSOCIATED EMISSIONS ACROSS THE WHOLE FOOD CHAIN</a:t>
            </a:r>
            <a:endParaRPr lang="en-GB" sz="900"/>
          </a:p>
        </c:rich>
      </c:tx>
      <c:layout>
        <c:manualLayout>
          <c:xMode val="edge"/>
          <c:yMode val="edge"/>
          <c:x val="0.13231383267174249"/>
          <c:y val="1.5396519879459511E-2"/>
        </c:manualLayout>
      </c:layout>
      <c:overlay val="0"/>
    </c:title>
    <c:autoTitleDeleted val="0"/>
    <c:plotArea>
      <c:layout/>
      <c:barChart>
        <c:barDir val="col"/>
        <c:grouping val="stacked"/>
        <c:varyColors val="0"/>
        <c:ser>
          <c:idx val="0"/>
          <c:order val="0"/>
          <c:tx>
            <c:strRef>
              <c:f>'SUMMARY GRAPHS'!$C$15</c:f>
              <c:strCache>
                <c:ptCount val="1"/>
                <c:pt idx="0">
                  <c:v>UK AGRICULTURAL EMISSIONS</c:v>
                </c:pt>
              </c:strCache>
            </c:strRef>
          </c:tx>
          <c:spPr>
            <a:solidFill>
              <a:schemeClr val="tx1"/>
            </a:solidFill>
          </c:spPr>
          <c:invertIfNegative val="0"/>
          <c:dPt>
            <c:idx val="1"/>
            <c:invertIfNegative val="0"/>
            <c:bubble3D val="0"/>
            <c:spPr>
              <a:solidFill>
                <a:srgbClr val="009900"/>
              </a:solidFill>
            </c:spPr>
          </c:dPt>
          <c:dPt>
            <c:idx val="4"/>
            <c:invertIfNegative val="0"/>
            <c:bubble3D val="0"/>
          </c:dPt>
          <c:dPt>
            <c:idx val="5"/>
            <c:invertIfNegative val="0"/>
            <c:bubble3D val="0"/>
            <c:spPr>
              <a:solidFill>
                <a:srgbClr val="009900"/>
              </a:solidFill>
            </c:spPr>
          </c:dPt>
          <c:cat>
            <c:strRef>
              <c:f>'SUMMARY GRAPHS'!$B$16:$B$21</c:f>
              <c:strCache>
                <c:ptCount val="6"/>
                <c:pt idx="0">
                  <c:v>ALL LIVESTOCK EMISSIONS</c:v>
                </c:pt>
                <c:pt idx="1">
                  <c:v>LIVESTOCK PRODUCTS</c:v>
                </c:pt>
                <c:pt idx="4">
                  <c:v>EMISSIONS FROM CROPS FOR DIRECT CONSUMPTION</c:v>
                </c:pt>
                <c:pt idx="5">
                  <c:v>DIRECT CONSUMPTION CROP PRODUCTS</c:v>
                </c:pt>
              </c:strCache>
            </c:strRef>
          </c:cat>
          <c:val>
            <c:numRef>
              <c:f>'SUMMARY GRAPHS'!$C$16:$C$21</c:f>
              <c:numCache>
                <c:formatCode>General</c:formatCode>
                <c:ptCount val="6"/>
                <c:pt idx="0">
                  <c:v>41.6</c:v>
                </c:pt>
                <c:pt idx="1">
                  <c:v>6</c:v>
                </c:pt>
                <c:pt idx="4">
                  <c:v>11.7</c:v>
                </c:pt>
                <c:pt idx="5">
                  <c:v>41</c:v>
                </c:pt>
              </c:numCache>
            </c:numRef>
          </c:val>
        </c:ser>
        <c:ser>
          <c:idx val="1"/>
          <c:order val="1"/>
          <c:tx>
            <c:strRef>
              <c:f>'SUMMARY GRAPHS'!$D$15</c:f>
              <c:strCache>
                <c:ptCount val="1"/>
                <c:pt idx="0">
                  <c:v>EMISSIONS DUE TO IMPORTS</c:v>
                </c:pt>
              </c:strCache>
            </c:strRef>
          </c:tx>
          <c:spPr>
            <a:solidFill>
              <a:schemeClr val="bg1">
                <a:lumMod val="65000"/>
              </a:schemeClr>
            </a:solidFill>
          </c:spPr>
          <c:invertIfNegative val="0"/>
          <c:dPt>
            <c:idx val="1"/>
            <c:invertIfNegative val="0"/>
            <c:bubble3D val="0"/>
            <c:spPr>
              <a:solidFill>
                <a:schemeClr val="accent3">
                  <a:lumMod val="60000"/>
                  <a:lumOff val="40000"/>
                </a:schemeClr>
              </a:solidFill>
            </c:spPr>
          </c:dPt>
          <c:dPt>
            <c:idx val="3"/>
            <c:invertIfNegative val="0"/>
            <c:bubble3D val="0"/>
          </c:dPt>
          <c:dPt>
            <c:idx val="4"/>
            <c:invertIfNegative val="0"/>
            <c:bubble3D val="0"/>
          </c:dPt>
          <c:dPt>
            <c:idx val="5"/>
            <c:invertIfNegative val="0"/>
            <c:bubble3D val="0"/>
            <c:spPr>
              <a:solidFill>
                <a:schemeClr val="accent3">
                  <a:lumMod val="60000"/>
                  <a:lumOff val="40000"/>
                </a:schemeClr>
              </a:solidFill>
            </c:spPr>
          </c:dPt>
          <c:cat>
            <c:strRef>
              <c:f>'SUMMARY GRAPHS'!$B$16:$B$21</c:f>
              <c:strCache>
                <c:ptCount val="6"/>
                <c:pt idx="0">
                  <c:v>ALL LIVESTOCK EMISSIONS</c:v>
                </c:pt>
                <c:pt idx="1">
                  <c:v>LIVESTOCK PRODUCTS</c:v>
                </c:pt>
                <c:pt idx="4">
                  <c:v>EMISSIONS FROM CROPS FOR DIRECT CONSUMPTION</c:v>
                </c:pt>
                <c:pt idx="5">
                  <c:v>DIRECT CONSUMPTION CROP PRODUCTS</c:v>
                </c:pt>
              </c:strCache>
            </c:strRef>
          </c:cat>
          <c:val>
            <c:numRef>
              <c:f>'SUMMARY GRAPHS'!$D$16:$D$21</c:f>
              <c:numCache>
                <c:formatCode>General</c:formatCode>
                <c:ptCount val="6"/>
                <c:pt idx="0">
                  <c:v>9.1</c:v>
                </c:pt>
                <c:pt idx="1">
                  <c:v>1.5</c:v>
                </c:pt>
                <c:pt idx="4">
                  <c:v>19.899999999999999</c:v>
                </c:pt>
                <c:pt idx="5">
                  <c:v>24.4</c:v>
                </c:pt>
              </c:numCache>
            </c:numRef>
          </c:val>
        </c:ser>
        <c:ser>
          <c:idx val="2"/>
          <c:order val="2"/>
          <c:tx>
            <c:strRef>
              <c:f>'SUMMARY GRAPHS'!$E$15</c:f>
              <c:strCache>
                <c:ptCount val="1"/>
                <c:pt idx="0">
                  <c:v>POST-RDC EMISSIONS</c:v>
                </c:pt>
              </c:strCache>
            </c:strRef>
          </c:tx>
          <c:spPr>
            <a:solidFill>
              <a:schemeClr val="accent6">
                <a:lumMod val="75000"/>
              </a:schemeClr>
            </a:solidFill>
          </c:spPr>
          <c:invertIfNegative val="0"/>
          <c:cat>
            <c:strRef>
              <c:f>'SUMMARY GRAPHS'!$B$16:$B$21</c:f>
              <c:strCache>
                <c:ptCount val="6"/>
                <c:pt idx="0">
                  <c:v>ALL LIVESTOCK EMISSIONS</c:v>
                </c:pt>
                <c:pt idx="1">
                  <c:v>LIVESTOCK PRODUCTS</c:v>
                </c:pt>
                <c:pt idx="4">
                  <c:v>EMISSIONS FROM CROPS FOR DIRECT CONSUMPTION</c:v>
                </c:pt>
                <c:pt idx="5">
                  <c:v>DIRECT CONSUMPTION CROP PRODUCTS</c:v>
                </c:pt>
              </c:strCache>
            </c:strRef>
          </c:cat>
          <c:val>
            <c:numRef>
              <c:f>'SUMMARY GRAPHS'!$E$16:$E$21</c:f>
              <c:numCache>
                <c:formatCode>General</c:formatCode>
                <c:ptCount val="6"/>
                <c:pt idx="0">
                  <c:v>43.37</c:v>
                </c:pt>
                <c:pt idx="4">
                  <c:v>21.6</c:v>
                </c:pt>
              </c:numCache>
            </c:numRef>
          </c:val>
        </c:ser>
        <c:ser>
          <c:idx val="3"/>
          <c:order val="3"/>
          <c:invertIfNegative val="0"/>
          <c:cat>
            <c:strRef>
              <c:f>'SUMMARY GRAPHS'!$B$16:$B$21</c:f>
              <c:strCache>
                <c:ptCount val="6"/>
                <c:pt idx="0">
                  <c:v>ALL LIVESTOCK EMISSIONS</c:v>
                </c:pt>
                <c:pt idx="1">
                  <c:v>LIVESTOCK PRODUCTS</c:v>
                </c:pt>
                <c:pt idx="4">
                  <c:v>EMISSIONS FROM CROPS FOR DIRECT CONSUMPTION</c:v>
                </c:pt>
                <c:pt idx="5">
                  <c:v>DIRECT CONSUMPTION CROP PRODUCTS</c:v>
                </c:pt>
              </c:strCache>
            </c:strRef>
          </c:cat>
          <c:val>
            <c:numRef>
              <c:f>'SUMMARY GRAPHS'!$F$16:$F$21</c:f>
              <c:numCache>
                <c:formatCode>General</c:formatCode>
                <c:ptCount val="6"/>
              </c:numCache>
            </c:numRef>
          </c:val>
        </c:ser>
        <c:ser>
          <c:idx val="4"/>
          <c:order val="4"/>
          <c:tx>
            <c:strRef>
              <c:f>'SUMMARY GRAPHS'!$F$15</c:f>
              <c:strCache>
                <c:ptCount val="1"/>
                <c:pt idx="0">
                  <c:v>OVERSEAS PRODUCTION</c:v>
                </c:pt>
              </c:strCache>
            </c:strRef>
          </c:tx>
          <c:spPr>
            <a:solidFill>
              <a:schemeClr val="accent3">
                <a:lumMod val="60000"/>
                <a:lumOff val="40000"/>
              </a:schemeClr>
            </a:solidFill>
          </c:spPr>
          <c:invertIfNegative val="0"/>
          <c:cat>
            <c:strRef>
              <c:f>'SUMMARY GRAPHS'!$B$16:$B$21</c:f>
              <c:strCache>
                <c:ptCount val="6"/>
                <c:pt idx="0">
                  <c:v>ALL LIVESTOCK EMISSIONS</c:v>
                </c:pt>
                <c:pt idx="1">
                  <c:v>LIVESTOCK PRODUCTS</c:v>
                </c:pt>
                <c:pt idx="4">
                  <c:v>EMISSIONS FROM CROPS FOR DIRECT CONSUMPTION</c:v>
                </c:pt>
                <c:pt idx="5">
                  <c:v>DIRECT CONSUMPTION CROP PRODUCTS</c:v>
                </c:pt>
              </c:strCache>
            </c:strRef>
          </c:cat>
          <c:val>
            <c:numRef>
              <c:f>'SUMMARY GRAPHS'!$G$16:$G$21</c:f>
              <c:numCache>
                <c:formatCode>General</c:formatCode>
                <c:ptCount val="6"/>
              </c:numCache>
            </c:numRef>
          </c:val>
        </c:ser>
        <c:ser>
          <c:idx val="5"/>
          <c:order val="5"/>
          <c:tx>
            <c:strRef>
              <c:f>'SUMMARY GRAPHS'!$G$15</c:f>
              <c:strCache>
                <c:ptCount val="1"/>
                <c:pt idx="0">
                  <c:v>UK PRODUCTION</c:v>
                </c:pt>
              </c:strCache>
            </c:strRef>
          </c:tx>
          <c:spPr>
            <a:solidFill>
              <a:srgbClr val="009900"/>
            </a:solidFill>
          </c:spPr>
          <c:invertIfNegative val="0"/>
          <c:cat>
            <c:strRef>
              <c:f>'SUMMARY GRAPHS'!$B$16:$B$21</c:f>
              <c:strCache>
                <c:ptCount val="6"/>
                <c:pt idx="0">
                  <c:v>ALL LIVESTOCK EMISSIONS</c:v>
                </c:pt>
                <c:pt idx="1">
                  <c:v>LIVESTOCK PRODUCTS</c:v>
                </c:pt>
                <c:pt idx="4">
                  <c:v>EMISSIONS FROM CROPS FOR DIRECT CONSUMPTION</c:v>
                </c:pt>
                <c:pt idx="5">
                  <c:v>DIRECT CONSUMPTION CROP PRODUCTS</c:v>
                </c:pt>
              </c:strCache>
            </c:strRef>
          </c:cat>
          <c:val>
            <c:numRef>
              <c:f>'SUMMARY GRAPHS'!$H$16:$H$21</c:f>
              <c:numCache>
                <c:formatCode>General</c:formatCode>
                <c:ptCount val="6"/>
              </c:numCache>
            </c:numRef>
          </c:val>
        </c:ser>
        <c:ser>
          <c:idx val="6"/>
          <c:order val="6"/>
          <c:tx>
            <c:strRef>
              <c:f>'SUMMARY GRAPHS'!$I$15</c:f>
              <c:strCache>
                <c:ptCount val="1"/>
              </c:strCache>
            </c:strRef>
          </c:tx>
          <c:invertIfNegative val="0"/>
          <c:cat>
            <c:strRef>
              <c:f>'SUMMARY GRAPHS'!$B$16:$B$21</c:f>
              <c:strCache>
                <c:ptCount val="6"/>
                <c:pt idx="0">
                  <c:v>ALL LIVESTOCK EMISSIONS</c:v>
                </c:pt>
                <c:pt idx="1">
                  <c:v>LIVESTOCK PRODUCTS</c:v>
                </c:pt>
                <c:pt idx="4">
                  <c:v>EMISSIONS FROM CROPS FOR DIRECT CONSUMPTION</c:v>
                </c:pt>
                <c:pt idx="5">
                  <c:v>DIRECT CONSUMPTION CROP PRODUCTS</c:v>
                </c:pt>
              </c:strCache>
            </c:strRef>
          </c:cat>
          <c:val>
            <c:numRef>
              <c:f>'SUMMARY GRAPHS'!$I$16:$I$21</c:f>
              <c:numCache>
                <c:formatCode>General</c:formatCode>
                <c:ptCount val="6"/>
              </c:numCache>
            </c:numRef>
          </c:val>
        </c:ser>
        <c:dLbls>
          <c:showLegendKey val="0"/>
          <c:showVal val="0"/>
          <c:showCatName val="0"/>
          <c:showSerName val="0"/>
          <c:showPercent val="0"/>
          <c:showBubbleSize val="0"/>
        </c:dLbls>
        <c:gapWidth val="150"/>
        <c:overlap val="100"/>
        <c:axId val="206064640"/>
        <c:axId val="207950592"/>
      </c:barChart>
      <c:catAx>
        <c:axId val="206064640"/>
        <c:scaling>
          <c:orientation val="minMax"/>
        </c:scaling>
        <c:delete val="0"/>
        <c:axPos val="b"/>
        <c:numFmt formatCode="General" sourceLinked="1"/>
        <c:majorTickMark val="out"/>
        <c:minorTickMark val="none"/>
        <c:tickLblPos val="nextTo"/>
        <c:txPr>
          <a:bodyPr/>
          <a:lstStyle/>
          <a:p>
            <a:pPr>
              <a:defRPr sz="800" b="1"/>
            </a:pPr>
            <a:endParaRPr lang="en-US"/>
          </a:p>
        </c:txPr>
        <c:crossAx val="207950592"/>
        <c:crosses val="autoZero"/>
        <c:auto val="1"/>
        <c:lblAlgn val="ctr"/>
        <c:lblOffset val="100"/>
        <c:noMultiLvlLbl val="0"/>
      </c:catAx>
      <c:valAx>
        <c:axId val="207950592"/>
        <c:scaling>
          <c:orientation val="minMax"/>
        </c:scaling>
        <c:delete val="0"/>
        <c:axPos val="l"/>
        <c:majorGridlines/>
        <c:title>
          <c:tx>
            <c:rich>
              <a:bodyPr rot="-5400000" vert="horz"/>
              <a:lstStyle/>
              <a:p>
                <a:pPr>
                  <a:defRPr/>
                </a:pPr>
                <a:r>
                  <a:rPr lang="en-GB"/>
                  <a:t>Emissions, MtCO2e, Products, Mt</a:t>
                </a:r>
              </a:p>
            </c:rich>
          </c:tx>
          <c:overlay val="0"/>
        </c:title>
        <c:numFmt formatCode="General" sourceLinked="1"/>
        <c:majorTickMark val="out"/>
        <c:minorTickMark val="none"/>
        <c:tickLblPos val="nextTo"/>
        <c:crossAx val="206064640"/>
        <c:crosses val="autoZero"/>
        <c:crossBetween val="between"/>
      </c:valAx>
    </c:plotArea>
    <c:legend>
      <c:legendPos val="r"/>
      <c:legendEntry>
        <c:idx val="0"/>
        <c:delete val="1"/>
      </c:legendEntry>
      <c:legendEntry>
        <c:idx val="3"/>
        <c:delete val="1"/>
      </c:legendEntry>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Scenario commodity mix mapped onto modified 'Livewell' categories</a:t>
            </a:r>
          </a:p>
        </c:rich>
      </c:tx>
      <c:overlay val="1"/>
    </c:title>
    <c:autoTitleDeleted val="0"/>
    <c:plotArea>
      <c:layout/>
      <c:pieChart>
        <c:varyColors val="1"/>
        <c:ser>
          <c:idx val="0"/>
          <c:order val="0"/>
          <c:dPt>
            <c:idx val="0"/>
            <c:bubble3D val="0"/>
            <c:spPr>
              <a:solidFill>
                <a:srgbClr val="FFC000"/>
              </a:solidFill>
            </c:spPr>
          </c:dPt>
          <c:dPt>
            <c:idx val="1"/>
            <c:bubble3D val="0"/>
            <c:spPr>
              <a:solidFill>
                <a:srgbClr val="FF0000"/>
              </a:solidFill>
            </c:spPr>
          </c:dPt>
          <c:dPt>
            <c:idx val="2"/>
            <c:bubble3D val="0"/>
            <c:spPr>
              <a:noFill/>
              <a:ln>
                <a:solidFill>
                  <a:schemeClr val="tx1"/>
                </a:solidFill>
              </a:ln>
            </c:spPr>
          </c:dPt>
          <c:dPt>
            <c:idx val="3"/>
            <c:bubble3D val="0"/>
            <c:spPr>
              <a:solidFill>
                <a:srgbClr val="009900"/>
              </a:solidFill>
            </c:spPr>
          </c:dPt>
          <c:dLbls>
            <c:showLegendKey val="0"/>
            <c:showVal val="0"/>
            <c:showCatName val="0"/>
            <c:showSerName val="0"/>
            <c:showPercent val="1"/>
            <c:showBubbleSize val="0"/>
            <c:showLeaderLines val="1"/>
          </c:dLbls>
          <c:cat>
            <c:strRef>
              <c:f>'MASTER SHEET'!$BK$7:$BK$10</c:f>
              <c:strCache>
                <c:ptCount val="4"/>
                <c:pt idx="0">
                  <c:v>STAPLES</c:v>
                </c:pt>
                <c:pt idx="1">
                  <c:v>HIGH PROTEIN</c:v>
                </c:pt>
                <c:pt idx="2">
                  <c:v>HIGH ENERGY</c:v>
                </c:pt>
                <c:pt idx="3">
                  <c:v>FRUIT AND VEG</c:v>
                </c:pt>
              </c:strCache>
            </c:strRef>
          </c:cat>
          <c:val>
            <c:numRef>
              <c:f>'MASTER SHEET'!$BL$7:$BL$10</c:f>
              <c:numCache>
                <c:formatCode>General</c:formatCode>
                <c:ptCount val="4"/>
                <c:pt idx="0">
                  <c:v>19024.71</c:v>
                </c:pt>
                <c:pt idx="1">
                  <c:v>8528.9259999999995</c:v>
                </c:pt>
                <c:pt idx="2">
                  <c:v>6795.1894545454543</c:v>
                </c:pt>
                <c:pt idx="3">
                  <c:v>26836.5593220339</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1"/>
            <c:bubble3D val="0"/>
            <c:spPr>
              <a:solidFill>
                <a:srgbClr val="FFC000"/>
              </a:solidFill>
              <a:ln>
                <a:noFill/>
              </a:ln>
            </c:spPr>
          </c:dPt>
          <c:dPt>
            <c:idx val="2"/>
            <c:bubble3D val="0"/>
            <c:spPr>
              <a:solidFill>
                <a:srgbClr val="CC00CC"/>
              </a:solidFill>
              <a:ln>
                <a:noFill/>
              </a:ln>
            </c:spPr>
          </c:dPt>
          <c:dPt>
            <c:idx val="3"/>
            <c:bubble3D val="0"/>
            <c:spPr>
              <a:solidFill>
                <a:srgbClr val="009900"/>
              </a:solidFill>
            </c:spPr>
          </c:dPt>
          <c:cat>
            <c:strRef>
              <c:f>Sheet1!$A$2:$A$5</c:f>
              <c:strCache>
                <c:ptCount val="4"/>
                <c:pt idx="1">
                  <c:v>Staples</c:v>
                </c:pt>
                <c:pt idx="2">
                  <c:v>Rich foods</c:v>
                </c:pt>
                <c:pt idx="3">
                  <c:v>Veg and Fruits</c:v>
                </c:pt>
              </c:strCache>
            </c:strRef>
          </c:cat>
          <c:val>
            <c:numRef>
              <c:f>Sheet1!$B$2:$B$5</c:f>
              <c:numCache>
                <c:formatCode>General</c:formatCode>
                <c:ptCount val="4"/>
                <c:pt idx="1">
                  <c:v>35</c:v>
                </c:pt>
                <c:pt idx="2">
                  <c:v>10</c:v>
                </c:pt>
                <c:pt idx="3">
                  <c:v>55</c:v>
                </c:pt>
              </c:numCache>
            </c:numRef>
          </c:val>
        </c:ser>
        <c:dLbls>
          <c:showLegendKey val="0"/>
          <c:showVal val="0"/>
          <c:showCatName val="0"/>
          <c:showSerName val="0"/>
          <c:showPercent val="0"/>
          <c:showBubbleSize val="0"/>
          <c:showLeaderLines val="1"/>
        </c:dLbls>
        <c:firstSliceAng val="0"/>
      </c:pieChart>
    </c:plotArea>
    <c:legend>
      <c:legendPos val="r"/>
      <c:legendEntry>
        <c:idx val="0"/>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a:pPr>
            <a:r>
              <a:rPr lang="en-GB" sz="1050"/>
              <a:t>GHGE and Nutritional Profiles for a range of modelled diets</a:t>
            </a:r>
          </a:p>
          <a:p>
            <a:pPr>
              <a:defRPr sz="700"/>
            </a:pPr>
            <a:r>
              <a:rPr lang="en-GB" sz="700"/>
              <a:t>All diets are adequate in terms of energy and proteins except the 'Gorilla' diet, which is deficient in protein</a:t>
            </a:r>
          </a:p>
        </c:rich>
      </c:tx>
      <c:layout>
        <c:manualLayout>
          <c:xMode val="edge"/>
          <c:yMode val="edge"/>
          <c:x val="0.1335138524351123"/>
          <c:y val="8.9787319185998613E-3"/>
        </c:manualLayout>
      </c:layout>
      <c:overlay val="0"/>
      <c:spPr>
        <a:noFill/>
        <a:ln w="25400">
          <a:noFill/>
        </a:ln>
      </c:spPr>
    </c:title>
    <c:autoTitleDeleted val="0"/>
    <c:plotArea>
      <c:layout>
        <c:manualLayout>
          <c:layoutTarget val="inner"/>
          <c:xMode val="edge"/>
          <c:yMode val="edge"/>
          <c:x val="7.4269706924434326E-2"/>
          <c:y val="0.10085966832621258"/>
          <c:w val="0.87493603079293802"/>
          <c:h val="0.81896095947647785"/>
        </c:manualLayout>
      </c:layout>
      <c:scatterChart>
        <c:scatterStyle val="lineMarker"/>
        <c:varyColors val="0"/>
        <c:ser>
          <c:idx val="0"/>
          <c:order val="0"/>
          <c:spPr>
            <a:ln w="28575">
              <a:noFill/>
            </a:ln>
          </c:spPr>
          <c:marker>
            <c:symbol val="circle"/>
            <c:size val="10"/>
            <c:spPr>
              <a:solidFill>
                <a:srgbClr val="FF6600"/>
              </a:solidFill>
              <a:ln>
                <a:noFill/>
              </a:ln>
            </c:spPr>
          </c:marker>
          <c:dPt>
            <c:idx val="0"/>
            <c:marker>
              <c:spPr>
                <a:solidFill>
                  <a:srgbClr val="FFC000"/>
                </a:solidFill>
                <a:ln>
                  <a:noFill/>
                </a:ln>
              </c:spPr>
            </c:marker>
            <c:bubble3D val="0"/>
          </c:dPt>
          <c:dPt>
            <c:idx val="4"/>
            <c:marker>
              <c:spPr>
                <a:solidFill>
                  <a:schemeClr val="tx1"/>
                </a:solidFill>
                <a:ln>
                  <a:noFill/>
                </a:ln>
              </c:spPr>
            </c:marker>
            <c:bubble3D val="0"/>
          </c:dPt>
          <c:dLbls>
            <c:dLbl>
              <c:idx val="0"/>
              <c:layout>
                <c:manualLayout>
                  <c:x val="-0.10063690018444878"/>
                  <c:y val="-3.7368843669978113E-2"/>
                </c:manualLayout>
              </c:layout>
              <c:tx>
                <c:rich>
                  <a:bodyPr/>
                  <a:lstStyle/>
                  <a:p>
                    <a:pPr>
                      <a:defRPr sz="1000" b="1"/>
                    </a:pPr>
                    <a:r>
                      <a:rPr lang="en-US" sz="1000" b="1"/>
                      <a:t>Average</a:t>
                    </a:r>
                  </a:p>
                </c:rich>
              </c:tx>
              <c:spPr>
                <a:noFill/>
                <a:ln w="25400">
                  <a:noFill/>
                </a:ln>
              </c:spPr>
              <c:dLblPos val="r"/>
              <c:showLegendKey val="0"/>
              <c:showVal val="0"/>
              <c:showCatName val="0"/>
              <c:showSerName val="0"/>
              <c:showPercent val="0"/>
              <c:showBubbleSize val="0"/>
            </c:dLbl>
            <c:dLbl>
              <c:idx val="1"/>
              <c:layout>
                <c:manualLayout>
                  <c:x val="-0.18321088244050976"/>
                  <c:y val="3.3600011750823783E-3"/>
                </c:manualLayout>
              </c:layout>
              <c:tx>
                <c:rich>
                  <a:bodyPr/>
                  <a:lstStyle/>
                  <a:p>
                    <a:r>
                      <a:rPr lang="en-US" sz="900"/>
                      <a:t>Typical vegan</a:t>
                    </a:r>
                    <a:endParaRPr lang="en-US"/>
                  </a:p>
                </c:rich>
              </c:tx>
              <c:dLblPos val="r"/>
              <c:showLegendKey val="0"/>
              <c:showVal val="0"/>
              <c:showCatName val="0"/>
              <c:showSerName val="0"/>
              <c:showPercent val="0"/>
              <c:showBubbleSize val="0"/>
            </c:dLbl>
            <c:dLbl>
              <c:idx val="2"/>
              <c:layout>
                <c:manualLayout>
                  <c:x val="-6.1111111111111109E-2"/>
                  <c:y val="3.59146898858436E-2"/>
                </c:manualLayout>
              </c:layout>
              <c:tx>
                <c:rich>
                  <a:bodyPr/>
                  <a:lstStyle/>
                  <a:p>
                    <a:r>
                      <a:rPr lang="en-US" sz="900"/>
                      <a:t>Glutton</a:t>
                    </a:r>
                    <a:endParaRPr lang="en-US"/>
                  </a:p>
                </c:rich>
              </c:tx>
              <c:dLblPos val="r"/>
              <c:showLegendKey val="0"/>
              <c:showVal val="0"/>
              <c:showCatName val="0"/>
              <c:showSerName val="0"/>
              <c:showPercent val="0"/>
              <c:showBubbleSize val="0"/>
            </c:dLbl>
            <c:dLbl>
              <c:idx val="3"/>
              <c:layout>
                <c:manualLayout>
                  <c:x val="-9.6275265387127957E-3"/>
                  <c:y val="1.9431700784857106E-2"/>
                </c:manualLayout>
              </c:layout>
              <c:tx>
                <c:rich>
                  <a:bodyPr/>
                  <a:lstStyle/>
                  <a:p>
                    <a:r>
                      <a:rPr lang="en-US" sz="900"/>
                      <a:t>Eat less</a:t>
                    </a:r>
                    <a:endParaRPr lang="en-US"/>
                  </a:p>
                </c:rich>
              </c:tx>
              <c:showLegendKey val="0"/>
              <c:showVal val="0"/>
              <c:showCatName val="0"/>
              <c:showSerName val="0"/>
              <c:showPercent val="0"/>
              <c:showBubbleSize val="0"/>
            </c:dLbl>
            <c:dLbl>
              <c:idx val="4"/>
              <c:layout>
                <c:manualLayout>
                  <c:x val="-7.518946612143533E-2"/>
                  <c:y val="5.6508303915472409E-2"/>
                </c:manualLayout>
              </c:layout>
              <c:tx>
                <c:rich>
                  <a:bodyPr/>
                  <a:lstStyle/>
                  <a:p>
                    <a:r>
                      <a:rPr lang="en-US" sz="900"/>
                      <a:t>'Gorilla'</a:t>
                    </a:r>
                    <a:endParaRPr lang="en-US"/>
                  </a:p>
                </c:rich>
              </c:tx>
              <c:dLblPos val="r"/>
              <c:showLegendKey val="0"/>
              <c:showVal val="0"/>
              <c:showCatName val="0"/>
              <c:showSerName val="0"/>
              <c:showPercent val="0"/>
              <c:showBubbleSize val="0"/>
            </c:dLbl>
            <c:dLbl>
              <c:idx val="5"/>
              <c:layout>
                <c:manualLayout>
                  <c:x val="-0.15695805790805598"/>
                  <c:y val="3.8253521575002079E-2"/>
                </c:manualLayout>
              </c:layout>
              <c:tx>
                <c:rich>
                  <a:bodyPr/>
                  <a:lstStyle/>
                  <a:p>
                    <a:r>
                      <a:rPr lang="en-US" sz="900"/>
                      <a:t>High meat/dairy</a:t>
                    </a:r>
                    <a:endParaRPr lang="en-US"/>
                  </a:p>
                </c:rich>
              </c:tx>
              <c:dLblPos val="r"/>
              <c:showLegendKey val="0"/>
              <c:showVal val="0"/>
              <c:showCatName val="0"/>
              <c:showSerName val="0"/>
              <c:showPercent val="0"/>
              <c:showBubbleSize val="0"/>
            </c:dLbl>
            <c:dLbl>
              <c:idx val="6"/>
              <c:layout>
                <c:manualLayout>
                  <c:x val="-5.5367162438028583E-2"/>
                  <c:y val="3.9490133947182308E-2"/>
                </c:manualLayout>
              </c:layout>
              <c:tx>
                <c:rich>
                  <a:bodyPr/>
                  <a:lstStyle/>
                  <a:p>
                    <a:r>
                      <a:rPr lang="en-US" sz="900"/>
                      <a:t>'Junk-food vegan'</a:t>
                    </a:r>
                    <a:endParaRPr lang="en-US"/>
                  </a:p>
                </c:rich>
              </c:tx>
              <c:dLblPos val="r"/>
              <c:showLegendKey val="0"/>
              <c:showVal val="0"/>
              <c:showCatName val="0"/>
              <c:showSerName val="0"/>
              <c:showPercent val="0"/>
              <c:showBubbleSize val="0"/>
            </c:dLbl>
            <c:dLbl>
              <c:idx val="7"/>
              <c:layout>
                <c:manualLayout>
                  <c:x val="-0.16516249199048544"/>
                  <c:y val="6.7903848884406167E-4"/>
                </c:manualLayout>
              </c:layout>
              <c:tx>
                <c:rich>
                  <a:bodyPr/>
                  <a:lstStyle/>
                  <a:p>
                    <a:r>
                      <a:rPr lang="en-US" sz="900"/>
                      <a:t>'Substitute vegetarian'</a:t>
                    </a:r>
                    <a:endParaRPr lang="en-US"/>
                  </a:p>
                </c:rich>
              </c:tx>
              <c:dLblPos val="r"/>
              <c:showLegendKey val="0"/>
              <c:showVal val="0"/>
              <c:showCatName val="0"/>
              <c:showSerName val="0"/>
              <c:showPercent val="0"/>
              <c:showBubbleSize val="0"/>
            </c:dLbl>
            <c:dLbl>
              <c:idx val="8"/>
              <c:layout>
                <c:manualLayout>
                  <c:x val="-3.6724992709244678E-3"/>
                  <c:y val="-1.0338199019698641E-2"/>
                </c:manualLayout>
              </c:layout>
              <c:tx>
                <c:rich>
                  <a:bodyPr/>
                  <a:lstStyle/>
                  <a:p>
                    <a:r>
                      <a:rPr lang="en-US" sz="900"/>
                      <a:t>Carbon minimiser</a:t>
                    </a:r>
                    <a:endParaRPr lang="en-US"/>
                  </a:p>
                </c:rich>
              </c:tx>
              <c:dLblPos val="r"/>
              <c:showLegendKey val="0"/>
              <c:showVal val="0"/>
              <c:showCatName val="0"/>
              <c:showSerName val="0"/>
              <c:showPercent val="0"/>
              <c:showBubbleSize val="0"/>
            </c:dLbl>
            <c:dLbl>
              <c:idx val="9"/>
              <c:layout>
                <c:manualLayout>
                  <c:x val="2.1474303866679419E-2"/>
                  <c:y val="5.4648674849809786E-2"/>
                </c:manualLayout>
              </c:layout>
              <c:tx>
                <c:rich>
                  <a:bodyPr/>
                  <a:lstStyle/>
                  <a:p>
                    <a:r>
                      <a:rPr lang="en-US" sz="900"/>
                      <a:t>'Light Lacto-vegetarian'</a:t>
                    </a:r>
                    <a:endParaRPr lang="en-US"/>
                  </a:p>
                </c:rich>
              </c:tx>
              <c:dLblPos val="r"/>
              <c:showLegendKey val="0"/>
              <c:showVal val="0"/>
              <c:showCatName val="0"/>
              <c:showSerName val="0"/>
              <c:showPercent val="0"/>
              <c:showBubbleSize val="0"/>
            </c:dLbl>
            <c:dLbl>
              <c:idx val="10"/>
              <c:layout>
                <c:manualLayout>
                  <c:x val="-1.7702537182852144E-2"/>
                  <c:y val="3.6497243123362014E-2"/>
                </c:manualLayout>
              </c:layout>
              <c:tx>
                <c:rich>
                  <a:bodyPr/>
                  <a:lstStyle/>
                  <a:p>
                    <a:r>
                      <a:rPr lang="en-US" sz="900"/>
                      <a:t>Organic high-meat</a:t>
                    </a:r>
                    <a:endParaRPr lang="en-US"/>
                  </a:p>
                </c:rich>
              </c:tx>
              <c:dLblPos val="r"/>
              <c:showLegendKey val="0"/>
              <c:showVal val="0"/>
              <c:showCatName val="0"/>
              <c:showSerName val="0"/>
              <c:showPercent val="0"/>
              <c:showBubbleSize val="0"/>
            </c:dLbl>
            <c:dLbl>
              <c:idx val="11"/>
              <c:layout>
                <c:manualLayout>
                  <c:x val="-1.3841858353148355E-2"/>
                  <c:y val="2.7248446687981355E-2"/>
                </c:manualLayout>
              </c:layout>
              <c:tx>
                <c:rich>
                  <a:bodyPr/>
                  <a:lstStyle/>
                  <a:p>
                    <a:r>
                      <a:rPr lang="en-US" sz="900"/>
                      <a:t>'Best behaviour' minimiser</a:t>
                    </a:r>
                    <a:endParaRPr lang="en-US"/>
                  </a:p>
                </c:rich>
              </c:tx>
              <c:dLblPos val="r"/>
              <c:showLegendKey val="0"/>
              <c:showVal val="0"/>
              <c:showCatName val="0"/>
              <c:showSerName val="0"/>
              <c:showPercent val="0"/>
              <c:showBubbleSize val="0"/>
            </c:dLbl>
            <c:dLbl>
              <c:idx val="12"/>
              <c:layout>
                <c:manualLayout>
                  <c:x val="-0.17194989820027795"/>
                  <c:y val="-3.1445694057510489E-3"/>
                </c:manualLayout>
              </c:layout>
              <c:tx>
                <c:rich>
                  <a:bodyPr/>
                  <a:lstStyle/>
                  <a:p>
                    <a:r>
                      <a:rPr lang="en-US" sz="900"/>
                      <a:t>Macdiarmid</a:t>
                    </a:r>
                    <a:endParaRPr lang="en-US"/>
                  </a:p>
                </c:rich>
              </c:tx>
              <c:dLblPos val="r"/>
              <c:showLegendKey val="0"/>
              <c:showVal val="0"/>
              <c:showCatName val="0"/>
              <c:showSerName val="0"/>
              <c:showPercent val="0"/>
              <c:showBubbleSize val="0"/>
            </c:dLbl>
            <c:dLbl>
              <c:idx val="13"/>
              <c:layout>
                <c:manualLayout>
                  <c:x val="3.888888888888889E-2"/>
                  <c:y val="-1.496468977979629E-2"/>
                </c:manualLayout>
              </c:layout>
              <c:tx>
                <c:rich>
                  <a:bodyPr/>
                  <a:lstStyle/>
                  <a:p>
                    <a:r>
                      <a:rPr lang="en-US" sz="900"/>
                      <a:t>ZCB2030 now</a:t>
                    </a:r>
                    <a:endParaRPr lang="en-US"/>
                  </a:p>
                </c:rich>
              </c:tx>
              <c:dLblPos val="r"/>
              <c:showLegendKey val="0"/>
              <c:showVal val="0"/>
              <c:showCatName val="0"/>
              <c:showSerName val="0"/>
              <c:showPercent val="0"/>
              <c:showBubbleSize val="0"/>
            </c:dLbl>
            <c:spPr>
              <a:noFill/>
              <a:ln w="25400">
                <a:noFill/>
              </a:ln>
            </c:spPr>
            <c:txPr>
              <a:bodyPr/>
              <a:lstStyle/>
              <a:p>
                <a:pPr>
                  <a:defRPr sz="900"/>
                </a:pPr>
                <a:endParaRPr lang="en-US"/>
              </a:p>
            </c:txPr>
            <c:showLegendKey val="0"/>
            <c:showVal val="0"/>
            <c:showCatName val="0"/>
            <c:showSerName val="1"/>
            <c:showPercent val="0"/>
            <c:showBubbleSize val="0"/>
            <c:showLeaderLines val="0"/>
          </c:dLbls>
          <c:xVal>
            <c:numRef>
              <c:f>GRAPHS!$C$7:$C$20</c:f>
              <c:numCache>
                <c:formatCode>General</c:formatCode>
                <c:ptCount val="14"/>
                <c:pt idx="0">
                  <c:v>2884</c:v>
                </c:pt>
                <c:pt idx="1">
                  <c:v>-5058</c:v>
                </c:pt>
                <c:pt idx="2">
                  <c:v>3750</c:v>
                </c:pt>
                <c:pt idx="3">
                  <c:v>-1246</c:v>
                </c:pt>
                <c:pt idx="4">
                  <c:v>-12780</c:v>
                </c:pt>
                <c:pt idx="5">
                  <c:v>6050</c:v>
                </c:pt>
                <c:pt idx="6">
                  <c:v>8096</c:v>
                </c:pt>
                <c:pt idx="7">
                  <c:v>4310</c:v>
                </c:pt>
                <c:pt idx="8">
                  <c:v>-4714</c:v>
                </c:pt>
                <c:pt idx="9">
                  <c:v>-4128</c:v>
                </c:pt>
                <c:pt idx="10">
                  <c:v>-44</c:v>
                </c:pt>
                <c:pt idx="11">
                  <c:v>-3367</c:v>
                </c:pt>
                <c:pt idx="12">
                  <c:v>-1768</c:v>
                </c:pt>
                <c:pt idx="13">
                  <c:v>-610</c:v>
                </c:pt>
              </c:numCache>
            </c:numRef>
          </c:xVal>
          <c:yVal>
            <c:numRef>
              <c:f>GRAPHS!$D$7:$D$20</c:f>
              <c:numCache>
                <c:formatCode>0.0</c:formatCode>
                <c:ptCount val="14"/>
                <c:pt idx="0">
                  <c:v>143.1484375</c:v>
                </c:pt>
                <c:pt idx="1">
                  <c:v>74.254687500000003</c:v>
                </c:pt>
                <c:pt idx="2">
                  <c:v>184.71281250000001</c:v>
                </c:pt>
                <c:pt idx="3">
                  <c:v>96.610937500000006</c:v>
                </c:pt>
                <c:pt idx="4">
                  <c:v>87.622812499999995</c:v>
                </c:pt>
                <c:pt idx="5">
                  <c:v>187.70124999999999</c:v>
                </c:pt>
                <c:pt idx="6">
                  <c:v>93.257499999999993</c:v>
                </c:pt>
                <c:pt idx="7">
                  <c:v>121.3396875</c:v>
                </c:pt>
                <c:pt idx="8">
                  <c:v>82.6953125</c:v>
                </c:pt>
                <c:pt idx="9">
                  <c:v>76.216562499999995</c:v>
                </c:pt>
                <c:pt idx="10">
                  <c:v>183.70906249999999</c:v>
                </c:pt>
                <c:pt idx="11">
                  <c:v>45.465312500000003</c:v>
                </c:pt>
                <c:pt idx="12">
                  <c:v>107.6065625</c:v>
                </c:pt>
                <c:pt idx="13">
                  <c:v>103.8425</c:v>
                </c:pt>
              </c:numCache>
            </c:numRef>
          </c:yVal>
          <c:smooth val="0"/>
        </c:ser>
        <c:dLbls>
          <c:showLegendKey val="0"/>
          <c:showVal val="0"/>
          <c:showCatName val="0"/>
          <c:showSerName val="0"/>
          <c:showPercent val="0"/>
          <c:showBubbleSize val="0"/>
        </c:dLbls>
        <c:axId val="4513152"/>
        <c:axId val="212723200"/>
      </c:scatterChart>
      <c:valAx>
        <c:axId val="4513152"/>
        <c:scaling>
          <c:orientation val="maxMin"/>
        </c:scaling>
        <c:delete val="0"/>
        <c:axPos val="b"/>
        <c:title>
          <c:tx>
            <c:rich>
              <a:bodyPr/>
              <a:lstStyle/>
              <a:p>
                <a:pPr>
                  <a:defRPr sz="1050"/>
                </a:pPr>
                <a:r>
                  <a:rPr lang="en-GB" sz="1050"/>
                  <a:t>Nutritional profile score (reversed scale: lower is better)</a:t>
                </a:r>
              </a:p>
            </c:rich>
          </c:tx>
          <c:overlay val="0"/>
          <c:spPr>
            <a:noFill/>
            <a:ln w="25400">
              <a:noFill/>
            </a:ln>
          </c:sp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2723200"/>
        <c:crossesAt val="143"/>
        <c:crossBetween val="midCat"/>
      </c:valAx>
      <c:valAx>
        <c:axId val="212723200"/>
        <c:scaling>
          <c:orientation val="minMax"/>
        </c:scaling>
        <c:delete val="0"/>
        <c:axPos val="r"/>
        <c:majorGridlines/>
        <c:title>
          <c:tx>
            <c:rich>
              <a:bodyPr rot="-5400000" vert="horz"/>
              <a:lstStyle/>
              <a:p>
                <a:pPr>
                  <a:defRPr sz="1100"/>
                </a:pPr>
                <a:r>
                  <a:rPr lang="en-GB" sz="1100"/>
                  <a:t>GHGE </a:t>
                </a:r>
                <a:r>
                  <a:rPr lang="en-GB" sz="1100" baseline="0"/>
                  <a:t> equivalent in MtCO2e/y</a:t>
                </a:r>
                <a:endParaRPr lang="en-GB" sz="1100"/>
              </a:p>
            </c:rich>
          </c:tx>
          <c:layout>
            <c:manualLayout>
              <c:xMode val="edge"/>
              <c:yMode val="edge"/>
              <c:x val="8.5328713665034119E-3"/>
              <c:y val="0.26066664422485469"/>
            </c:manualLayout>
          </c:layout>
          <c:overlay val="0"/>
          <c:spPr>
            <a:noFill/>
            <a:ln w="25400">
              <a:noFill/>
            </a:ln>
          </c:spPr>
        </c:title>
        <c:numFmt formatCode="0.0" sourceLinked="1"/>
        <c:majorTickMark val="out"/>
        <c:minorTickMark val="none"/>
        <c:tickLblPos val="nextTo"/>
        <c:crossAx val="4513152"/>
        <c:crossesAt val="2884"/>
        <c:crossBetween val="midCat"/>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Calibri"/>
                <a:ea typeface="Calibri"/>
                <a:cs typeface="Calibri"/>
              </a:defRPr>
            </a:pPr>
            <a:r>
              <a:rPr lang="en-GB" sz="1050"/>
              <a:t>GHGE and Nutritional Values </a:t>
            </a:r>
          </a:p>
          <a:p>
            <a:pPr>
              <a:defRPr sz="1050" b="1" i="0" u="none" strike="noStrike" baseline="0">
                <a:solidFill>
                  <a:srgbClr val="000000"/>
                </a:solidFill>
                <a:latin typeface="Calibri"/>
                <a:ea typeface="Calibri"/>
                <a:cs typeface="Calibri"/>
              </a:defRPr>
            </a:pPr>
            <a:r>
              <a:rPr lang="en-GB" sz="1050"/>
              <a:t>for a range of modelled diets</a:t>
            </a:r>
          </a:p>
          <a:p>
            <a:pPr>
              <a:defRPr sz="1050" b="1" i="0" u="none" strike="noStrike" baseline="0">
                <a:solidFill>
                  <a:srgbClr val="000000"/>
                </a:solidFill>
                <a:latin typeface="Calibri"/>
                <a:ea typeface="Calibri"/>
                <a:cs typeface="Calibri"/>
              </a:defRPr>
            </a:pPr>
            <a:r>
              <a:rPr lang="en-GB" sz="1050"/>
              <a:t> in ZCB Scenario 2</a:t>
            </a:r>
          </a:p>
        </c:rich>
      </c:tx>
      <c:layout>
        <c:manualLayout>
          <c:xMode val="edge"/>
          <c:yMode val="edge"/>
          <c:x val="0.62041610855401708"/>
          <c:y val="8.6251509401414531E-2"/>
        </c:manualLayout>
      </c:layout>
      <c:overlay val="0"/>
    </c:title>
    <c:autoTitleDeleted val="0"/>
    <c:plotArea>
      <c:layout>
        <c:manualLayout>
          <c:layoutTarget val="inner"/>
          <c:xMode val="edge"/>
          <c:yMode val="edge"/>
          <c:x val="3.5982577642865957E-2"/>
          <c:y val="8.5860424170345326E-2"/>
          <c:w val="0.90389211477369946"/>
          <c:h val="0.81796927941641895"/>
        </c:manualLayout>
      </c:layout>
      <c:bubbleChart>
        <c:varyColors val="0"/>
        <c:ser>
          <c:idx val="0"/>
          <c:order val="0"/>
          <c:spPr>
            <a:solidFill>
              <a:srgbClr val="FFC000"/>
            </a:solidFill>
            <a:ln w="12700" cmpd="sng">
              <a:solidFill>
                <a:schemeClr val="tx1"/>
              </a:solidFill>
            </a:ln>
          </c:spPr>
          <c:invertIfNegative val="0"/>
          <c:dPt>
            <c:idx val="4"/>
            <c:invertIfNegative val="0"/>
            <c:bubble3D val="0"/>
            <c:spPr>
              <a:solidFill>
                <a:schemeClr val="tx1"/>
              </a:solidFill>
              <a:ln w="12700" cmpd="sng">
                <a:solidFill>
                  <a:schemeClr val="tx1"/>
                </a:solidFill>
              </a:ln>
            </c:spPr>
          </c:dPt>
          <c:dPt>
            <c:idx val="15"/>
            <c:invertIfNegative val="0"/>
            <c:bubble3D val="0"/>
            <c:spPr>
              <a:solidFill>
                <a:schemeClr val="accent5">
                  <a:lumMod val="50000"/>
                </a:schemeClr>
              </a:solidFill>
              <a:ln w="12700" cmpd="sng">
                <a:solidFill>
                  <a:schemeClr val="tx1"/>
                </a:solidFill>
              </a:ln>
              <a:effectLst>
                <a:glow rad="1485900">
                  <a:schemeClr val="accent5">
                    <a:lumMod val="75000"/>
                    <a:alpha val="40000"/>
                  </a:schemeClr>
                </a:glow>
              </a:effectLst>
            </c:spPr>
          </c:dPt>
          <c:dPt>
            <c:idx val="16"/>
            <c:invertIfNegative val="0"/>
            <c:bubble3D val="0"/>
            <c:spPr>
              <a:solidFill>
                <a:srgbClr val="FFC000"/>
              </a:solidFill>
              <a:ln w="12700" cmpd="sng">
                <a:solidFill>
                  <a:schemeClr val="tx1"/>
                </a:solidFill>
              </a:ln>
              <a:effectLst/>
            </c:spPr>
          </c:dPt>
          <c:dPt>
            <c:idx val="17"/>
            <c:invertIfNegative val="0"/>
            <c:bubble3D val="0"/>
            <c:spPr>
              <a:solidFill>
                <a:srgbClr val="FF0000"/>
              </a:solidFill>
              <a:ln w="25400">
                <a:noFill/>
              </a:ln>
            </c:spPr>
          </c:dPt>
          <c:xVal>
            <c:numRef>
              <c:f>GRAPHS!$T$11:$T$27</c:f>
              <c:numCache>
                <c:formatCode>General</c:formatCode>
                <c:ptCount val="17"/>
                <c:pt idx="0">
                  <c:v>3004</c:v>
                </c:pt>
                <c:pt idx="1">
                  <c:v>-5069</c:v>
                </c:pt>
                <c:pt idx="2">
                  <c:v>2831</c:v>
                </c:pt>
                <c:pt idx="3">
                  <c:v>1529</c:v>
                </c:pt>
                <c:pt idx="4">
                  <c:v>-13313</c:v>
                </c:pt>
                <c:pt idx="5">
                  <c:v>6302</c:v>
                </c:pt>
                <c:pt idx="6">
                  <c:v>8433</c:v>
                </c:pt>
                <c:pt idx="7">
                  <c:v>4489</c:v>
                </c:pt>
                <c:pt idx="8">
                  <c:v>-4461</c:v>
                </c:pt>
                <c:pt idx="9">
                  <c:v>-3850</c:v>
                </c:pt>
                <c:pt idx="10">
                  <c:v>104</c:v>
                </c:pt>
                <c:pt idx="11">
                  <c:v>-3186</c:v>
                </c:pt>
                <c:pt idx="12">
                  <c:v>-1841</c:v>
                </c:pt>
                <c:pt idx="13">
                  <c:v>-3524</c:v>
                </c:pt>
                <c:pt idx="14">
                  <c:v>72</c:v>
                </c:pt>
                <c:pt idx="15">
                  <c:v>-40.4</c:v>
                </c:pt>
                <c:pt idx="16">
                  <c:v>-636</c:v>
                </c:pt>
              </c:numCache>
            </c:numRef>
          </c:xVal>
          <c:yVal>
            <c:numRef>
              <c:f>GRAPHS!$U$11:$U$27</c:f>
              <c:numCache>
                <c:formatCode>General</c:formatCode>
                <c:ptCount val="17"/>
                <c:pt idx="0">
                  <c:v>31</c:v>
                </c:pt>
                <c:pt idx="1">
                  <c:v>6.5</c:v>
                </c:pt>
                <c:pt idx="2">
                  <c:v>40</c:v>
                </c:pt>
                <c:pt idx="3">
                  <c:v>21</c:v>
                </c:pt>
                <c:pt idx="4">
                  <c:v>6.4</c:v>
                </c:pt>
                <c:pt idx="5">
                  <c:v>54</c:v>
                </c:pt>
                <c:pt idx="6">
                  <c:v>4.5999999999999996</c:v>
                </c:pt>
                <c:pt idx="7">
                  <c:v>27</c:v>
                </c:pt>
                <c:pt idx="8">
                  <c:v>14.5</c:v>
                </c:pt>
                <c:pt idx="9">
                  <c:v>13</c:v>
                </c:pt>
                <c:pt idx="10">
                  <c:v>51</c:v>
                </c:pt>
                <c:pt idx="11">
                  <c:v>10.3</c:v>
                </c:pt>
                <c:pt idx="12">
                  <c:v>23</c:v>
                </c:pt>
                <c:pt idx="13">
                  <c:v>11.2</c:v>
                </c:pt>
                <c:pt idx="14">
                  <c:v>20.65</c:v>
                </c:pt>
                <c:pt idx="15">
                  <c:v>13.6</c:v>
                </c:pt>
                <c:pt idx="16">
                  <c:v>14.3</c:v>
                </c:pt>
              </c:numCache>
            </c:numRef>
          </c:yVal>
          <c:bubbleSize>
            <c:numRef>
              <c:f>GRAPHS!$V$11:$V$27</c:f>
              <c:numCache>
                <c:formatCode>General</c:formatCode>
                <c:ptCount val="17"/>
                <c:pt idx="0">
                  <c:v>1</c:v>
                </c:pt>
                <c:pt idx="1">
                  <c:v>4</c:v>
                </c:pt>
                <c:pt idx="2">
                  <c:v>1</c:v>
                </c:pt>
                <c:pt idx="3">
                  <c:v>4</c:v>
                </c:pt>
                <c:pt idx="4">
                  <c:v>3</c:v>
                </c:pt>
                <c:pt idx="5">
                  <c:v>1</c:v>
                </c:pt>
                <c:pt idx="6">
                  <c:v>3</c:v>
                </c:pt>
                <c:pt idx="7">
                  <c:v>2</c:v>
                </c:pt>
                <c:pt idx="8">
                  <c:v>4</c:v>
                </c:pt>
                <c:pt idx="9">
                  <c:v>4</c:v>
                </c:pt>
                <c:pt idx="10">
                  <c:v>3</c:v>
                </c:pt>
                <c:pt idx="11">
                  <c:v>4</c:v>
                </c:pt>
                <c:pt idx="12">
                  <c:v>4</c:v>
                </c:pt>
                <c:pt idx="13">
                  <c:v>5</c:v>
                </c:pt>
                <c:pt idx="14">
                  <c:v>4</c:v>
                </c:pt>
                <c:pt idx="15">
                  <c:v>3</c:v>
                </c:pt>
                <c:pt idx="16">
                  <c:v>4</c:v>
                </c:pt>
              </c:numCache>
            </c:numRef>
          </c:bubbleSize>
          <c:bubble3D val="0"/>
        </c:ser>
        <c:dLbls>
          <c:showLegendKey val="0"/>
          <c:showVal val="0"/>
          <c:showCatName val="0"/>
          <c:showSerName val="0"/>
          <c:showPercent val="0"/>
          <c:showBubbleSize val="0"/>
        </c:dLbls>
        <c:bubbleScale val="30"/>
        <c:showNegBubbles val="0"/>
        <c:sizeRepresents val="w"/>
        <c:axId val="217530752"/>
        <c:axId val="217532672"/>
      </c:bubbleChart>
      <c:valAx>
        <c:axId val="217530752"/>
        <c:scaling>
          <c:orientation val="maxMin"/>
        </c:scaling>
        <c:delete val="0"/>
        <c:axPos val="b"/>
        <c:title>
          <c:tx>
            <c:rich>
              <a:bodyPr/>
              <a:lstStyle/>
              <a:p>
                <a:pPr>
                  <a:defRPr sz="900" b="0" i="0" u="none" strike="noStrike" baseline="0">
                    <a:solidFill>
                      <a:srgbClr val="000000"/>
                    </a:solidFill>
                    <a:latin typeface="Calibri"/>
                    <a:ea typeface="Calibri"/>
                    <a:cs typeface="Calibri"/>
                  </a:defRPr>
                </a:pPr>
                <a:r>
                  <a:rPr lang="en-GB" sz="900" b="1" i="0" u="none" strike="noStrike" baseline="0">
                    <a:solidFill>
                      <a:srgbClr val="000000"/>
                    </a:solidFill>
                    <a:latin typeface="Calibri"/>
                  </a:rPr>
                  <a:t>Nutrional profile score (low is better)</a:t>
                </a:r>
              </a:p>
              <a:p>
                <a:pPr>
                  <a:defRPr sz="900" b="0" i="0" u="none" strike="noStrike" baseline="0">
                    <a:solidFill>
                      <a:srgbClr val="000000"/>
                    </a:solidFill>
                    <a:latin typeface="Calibri"/>
                    <a:ea typeface="Calibri"/>
                    <a:cs typeface="Calibri"/>
                  </a:defRPr>
                </a:pPr>
                <a:r>
                  <a:rPr lang="en-GB" sz="900" b="1" i="0" u="none" strike="noStrike" baseline="0">
                    <a:solidFill>
                      <a:srgbClr val="000000"/>
                    </a:solidFill>
                    <a:latin typeface="Calibri"/>
                  </a:rPr>
                  <a:t>Area of bubbles represents 'nutritional balance' among four principal dietary classes</a:t>
                </a:r>
              </a:p>
            </c:rich>
          </c:tx>
          <c:overlay val="0"/>
        </c:title>
        <c:numFmt formatCode="General" sourceLinked="1"/>
        <c:majorTickMark val="out"/>
        <c:minorTickMark val="none"/>
        <c:tickLblPos val="nextTo"/>
        <c:spPr>
          <a:ln w="19050">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217532672"/>
        <c:crossesAt val="13.6"/>
        <c:crossBetween val="midCat"/>
      </c:valAx>
      <c:valAx>
        <c:axId val="217532672"/>
        <c:scaling>
          <c:orientation val="minMax"/>
          <c:min val="0"/>
        </c:scaling>
        <c:delete val="0"/>
        <c:axPos val="r"/>
        <c:majorGridlines/>
        <c:title>
          <c:tx>
            <c:rich>
              <a:bodyPr/>
              <a:lstStyle/>
              <a:p>
                <a:pPr>
                  <a:defRPr sz="1000" b="1" i="0" u="none" strike="noStrike" baseline="0">
                    <a:solidFill>
                      <a:srgbClr val="000000"/>
                    </a:solidFill>
                    <a:latin typeface="Calibri"/>
                    <a:ea typeface="Calibri"/>
                    <a:cs typeface="Calibri"/>
                  </a:defRPr>
                </a:pPr>
                <a:r>
                  <a:rPr lang="en-GB"/>
                  <a:t>GHGE in MtCO2e/y</a:t>
                </a:r>
              </a:p>
            </c:rich>
          </c:tx>
          <c:layout>
            <c:manualLayout>
              <c:xMode val="edge"/>
              <c:yMode val="edge"/>
              <c:x val="1.0565594040629313E-2"/>
              <c:y val="0.24338022964520739"/>
            </c:manualLayout>
          </c:layout>
          <c:overlay val="0"/>
        </c:title>
        <c:numFmt formatCode="General" sourceLinked="1"/>
        <c:majorTickMark val="out"/>
        <c:minorTickMark val="none"/>
        <c:tickLblPos val="nextTo"/>
        <c:spPr>
          <a:ln w="19050">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217530752"/>
        <c:crossesAt val="-40.4"/>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ALLOCATION OF 8Mha FOR SCENARIO FOOD PRODUCTION</a:t>
            </a:r>
          </a:p>
        </c:rich>
      </c:tx>
      <c:overlay val="1"/>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showLegendKey val="0"/>
            <c:showVal val="0"/>
            <c:showCatName val="1"/>
            <c:showSerName val="0"/>
            <c:showPercent val="0"/>
            <c:showBubbleSize val="0"/>
            <c:showLeaderLines val="1"/>
          </c:dLbls>
          <c:cat>
            <c:strRef>
              <c:f>Sheet3!$M$42:$M$48</c:f>
              <c:strCache>
                <c:ptCount val="7"/>
                <c:pt idx="0">
                  <c:v>CEREALS</c:v>
                </c:pt>
                <c:pt idx="1">
                  <c:v>VEG AND POTATOES</c:v>
                </c:pt>
                <c:pt idx="2">
                  <c:v>FRUIT</c:v>
                </c:pt>
                <c:pt idx="3">
                  <c:v>LEGUMES</c:v>
                </c:pt>
                <c:pt idx="4">
                  <c:v>OILSEEDS</c:v>
                </c:pt>
                <c:pt idx="5">
                  <c:v>LIVESTOCK FEED</c:v>
                </c:pt>
                <c:pt idx="6">
                  <c:v>GRAZING</c:v>
                </c:pt>
              </c:strCache>
            </c:strRef>
          </c:cat>
          <c:val>
            <c:numRef>
              <c:f>Sheet3!$N$42:$N$48</c:f>
              <c:numCache>
                <c:formatCode>General</c:formatCode>
                <c:ptCount val="7"/>
                <c:pt idx="0">
                  <c:v>1575</c:v>
                </c:pt>
                <c:pt idx="1">
                  <c:v>1888</c:v>
                </c:pt>
                <c:pt idx="2">
                  <c:v>536</c:v>
                </c:pt>
                <c:pt idx="3">
                  <c:v>156</c:v>
                </c:pt>
                <c:pt idx="4">
                  <c:v>218</c:v>
                </c:pt>
                <c:pt idx="5">
                  <c:v>1211</c:v>
                </c:pt>
                <c:pt idx="6">
                  <c:v>2839</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GB" sz="1050"/>
              <a:t>GHGE FROM ENTIRE FOOD-CHAIN PLUS LAND-USE CHANGE</a:t>
            </a:r>
            <a:r>
              <a:rPr lang="en-GB" sz="1050" baseline="0"/>
              <a:t> </a:t>
            </a:r>
            <a:endParaRPr lang="en-GB" sz="1050"/>
          </a:p>
        </c:rich>
      </c:tx>
      <c:overlay val="0"/>
    </c:title>
    <c:autoTitleDeleted val="0"/>
    <c:plotArea>
      <c:layout/>
      <c:barChart>
        <c:barDir val="col"/>
        <c:grouping val="stacked"/>
        <c:varyColors val="0"/>
        <c:ser>
          <c:idx val="0"/>
          <c:order val="0"/>
          <c:tx>
            <c:strRef>
              <c:f>'SUMMARY GRAPHS'!$C$37</c:f>
              <c:strCache>
                <c:ptCount val="1"/>
                <c:pt idx="0">
                  <c:v>UK AGRICULTURAL EMISSIONS</c:v>
                </c:pt>
              </c:strCache>
            </c:strRef>
          </c:tx>
          <c:spPr>
            <a:solidFill>
              <a:schemeClr val="tx1"/>
            </a:solidFill>
          </c:spPr>
          <c:invertIfNegative val="0"/>
          <c:dPt>
            <c:idx val="1"/>
            <c:invertIfNegative val="0"/>
            <c:bubble3D val="0"/>
            <c:spPr>
              <a:solidFill>
                <a:srgbClr val="009900"/>
              </a:solidFill>
            </c:spPr>
          </c:dPt>
          <c:dPt>
            <c:idx val="4"/>
            <c:invertIfNegative val="0"/>
            <c:bubble3D val="0"/>
          </c:dPt>
          <c:dPt>
            <c:idx val="5"/>
            <c:invertIfNegative val="0"/>
            <c:bubble3D val="0"/>
            <c:spPr>
              <a:solidFill>
                <a:srgbClr val="009900"/>
              </a:solidFill>
            </c:spPr>
          </c:dPt>
          <c:cat>
            <c:strRef>
              <c:f>'SUMMARY GRAPHS'!$B$38:$B$43</c:f>
              <c:strCache>
                <c:ptCount val="6"/>
                <c:pt idx="0">
                  <c:v>ALL LIVESTOCK EMISSIONS</c:v>
                </c:pt>
                <c:pt idx="1">
                  <c:v>LIVESTOCK PRODUCTS</c:v>
                </c:pt>
                <c:pt idx="4">
                  <c:v>EMISSIONS FROM CROPS FOR DIRECT CONSUMPTION</c:v>
                </c:pt>
                <c:pt idx="5">
                  <c:v>DIRECT CONSUMPTION CROP PRODUCTS</c:v>
                </c:pt>
              </c:strCache>
            </c:strRef>
          </c:cat>
          <c:val>
            <c:numRef>
              <c:f>'SUMMARY GRAPHS'!$C$38:$C$43</c:f>
              <c:numCache>
                <c:formatCode>General</c:formatCode>
                <c:ptCount val="6"/>
                <c:pt idx="0">
                  <c:v>41.6</c:v>
                </c:pt>
                <c:pt idx="1">
                  <c:v>6</c:v>
                </c:pt>
                <c:pt idx="4">
                  <c:v>11.7</c:v>
                </c:pt>
                <c:pt idx="5">
                  <c:v>41</c:v>
                </c:pt>
              </c:numCache>
            </c:numRef>
          </c:val>
        </c:ser>
        <c:ser>
          <c:idx val="1"/>
          <c:order val="1"/>
          <c:tx>
            <c:strRef>
              <c:f>'SUMMARY GRAPHS'!$D$37</c:f>
              <c:strCache>
                <c:ptCount val="1"/>
                <c:pt idx="0">
                  <c:v>EMISSIONS DUE TO IMPORTS</c:v>
                </c:pt>
              </c:strCache>
            </c:strRef>
          </c:tx>
          <c:spPr>
            <a:solidFill>
              <a:schemeClr val="bg1">
                <a:lumMod val="65000"/>
              </a:schemeClr>
            </a:solidFill>
          </c:spPr>
          <c:invertIfNegative val="0"/>
          <c:dPt>
            <c:idx val="1"/>
            <c:invertIfNegative val="0"/>
            <c:bubble3D val="0"/>
            <c:spPr>
              <a:solidFill>
                <a:srgbClr val="009900"/>
              </a:solidFill>
            </c:spPr>
          </c:dPt>
          <c:dPt>
            <c:idx val="4"/>
            <c:invertIfNegative val="0"/>
            <c:bubble3D val="0"/>
          </c:dPt>
          <c:dPt>
            <c:idx val="5"/>
            <c:invertIfNegative val="0"/>
            <c:bubble3D val="0"/>
            <c:spPr>
              <a:solidFill>
                <a:srgbClr val="009900"/>
              </a:solidFill>
            </c:spPr>
          </c:dPt>
          <c:cat>
            <c:strRef>
              <c:f>'SUMMARY GRAPHS'!$B$38:$B$43</c:f>
              <c:strCache>
                <c:ptCount val="6"/>
                <c:pt idx="0">
                  <c:v>ALL LIVESTOCK EMISSIONS</c:v>
                </c:pt>
                <c:pt idx="1">
                  <c:v>LIVESTOCK PRODUCTS</c:v>
                </c:pt>
                <c:pt idx="4">
                  <c:v>EMISSIONS FROM CROPS FOR DIRECT CONSUMPTION</c:v>
                </c:pt>
                <c:pt idx="5">
                  <c:v>DIRECT CONSUMPTION CROP PRODUCTS</c:v>
                </c:pt>
              </c:strCache>
            </c:strRef>
          </c:cat>
          <c:val>
            <c:numRef>
              <c:f>'SUMMARY GRAPHS'!$D$38:$D$43</c:f>
              <c:numCache>
                <c:formatCode>General</c:formatCode>
                <c:ptCount val="6"/>
                <c:pt idx="0">
                  <c:v>9.1</c:v>
                </c:pt>
                <c:pt idx="1">
                  <c:v>1.5</c:v>
                </c:pt>
                <c:pt idx="4">
                  <c:v>19.899999999999999</c:v>
                </c:pt>
                <c:pt idx="5">
                  <c:v>24.4</c:v>
                </c:pt>
              </c:numCache>
            </c:numRef>
          </c:val>
        </c:ser>
        <c:ser>
          <c:idx val="2"/>
          <c:order val="2"/>
          <c:tx>
            <c:strRef>
              <c:f>'SUMMARY GRAPHS'!$E$37</c:f>
              <c:strCache>
                <c:ptCount val="1"/>
                <c:pt idx="0">
                  <c:v>POST-RDC EMISSIONS</c:v>
                </c:pt>
              </c:strCache>
            </c:strRef>
          </c:tx>
          <c:spPr>
            <a:solidFill>
              <a:schemeClr val="accent6">
                <a:lumMod val="75000"/>
              </a:schemeClr>
            </a:solidFill>
          </c:spPr>
          <c:invertIfNegative val="0"/>
          <c:cat>
            <c:strRef>
              <c:f>'SUMMARY GRAPHS'!$B$38:$B$43</c:f>
              <c:strCache>
                <c:ptCount val="6"/>
                <c:pt idx="0">
                  <c:v>ALL LIVESTOCK EMISSIONS</c:v>
                </c:pt>
                <c:pt idx="1">
                  <c:v>LIVESTOCK PRODUCTS</c:v>
                </c:pt>
                <c:pt idx="4">
                  <c:v>EMISSIONS FROM CROPS FOR DIRECT CONSUMPTION</c:v>
                </c:pt>
                <c:pt idx="5">
                  <c:v>DIRECT CONSUMPTION CROP PRODUCTS</c:v>
                </c:pt>
              </c:strCache>
            </c:strRef>
          </c:cat>
          <c:val>
            <c:numRef>
              <c:f>'SUMMARY GRAPHS'!$E$38:$E$43</c:f>
              <c:numCache>
                <c:formatCode>General</c:formatCode>
                <c:ptCount val="6"/>
                <c:pt idx="0">
                  <c:v>43.37</c:v>
                </c:pt>
                <c:pt idx="4">
                  <c:v>21.6</c:v>
                </c:pt>
              </c:numCache>
            </c:numRef>
          </c:val>
        </c:ser>
        <c:ser>
          <c:idx val="3"/>
          <c:order val="3"/>
          <c:spPr>
            <a:solidFill>
              <a:schemeClr val="accent1">
                <a:lumMod val="75000"/>
              </a:schemeClr>
            </a:solidFill>
          </c:spPr>
          <c:invertIfNegative val="0"/>
          <c:cat>
            <c:strRef>
              <c:f>'SUMMARY GRAPHS'!$B$38:$B$43</c:f>
              <c:strCache>
                <c:ptCount val="6"/>
                <c:pt idx="0">
                  <c:v>ALL LIVESTOCK EMISSIONS</c:v>
                </c:pt>
                <c:pt idx="1">
                  <c:v>LIVESTOCK PRODUCTS</c:v>
                </c:pt>
                <c:pt idx="4">
                  <c:v>EMISSIONS FROM CROPS FOR DIRECT CONSUMPTION</c:v>
                </c:pt>
                <c:pt idx="5">
                  <c:v>DIRECT CONSUMPTION CROP PRODUCTS</c:v>
                </c:pt>
              </c:strCache>
            </c:strRef>
          </c:cat>
          <c:val>
            <c:numRef>
              <c:f>'SUMMARY GRAPHS'!$F$38:$F$43</c:f>
              <c:numCache>
                <c:formatCode>General</c:formatCode>
                <c:ptCount val="6"/>
                <c:pt idx="0">
                  <c:v>91</c:v>
                </c:pt>
                <c:pt idx="4">
                  <c:v>11</c:v>
                </c:pt>
              </c:numCache>
            </c:numRef>
          </c:val>
        </c:ser>
        <c:ser>
          <c:idx val="4"/>
          <c:order val="4"/>
          <c:tx>
            <c:strRef>
              <c:f>'SUMMARY GRAPHS'!$G$37</c:f>
              <c:strCache>
                <c:ptCount val="1"/>
                <c:pt idx="0">
                  <c:v> UK &amp; O/S PRODUCTION</c:v>
                </c:pt>
              </c:strCache>
            </c:strRef>
          </c:tx>
          <c:spPr>
            <a:solidFill>
              <a:srgbClr val="009900"/>
            </a:solidFill>
          </c:spPr>
          <c:invertIfNegative val="0"/>
          <c:cat>
            <c:strRef>
              <c:f>'SUMMARY GRAPHS'!$B$38:$B$43</c:f>
              <c:strCache>
                <c:ptCount val="6"/>
                <c:pt idx="0">
                  <c:v>ALL LIVESTOCK EMISSIONS</c:v>
                </c:pt>
                <c:pt idx="1">
                  <c:v>LIVESTOCK PRODUCTS</c:v>
                </c:pt>
                <c:pt idx="4">
                  <c:v>EMISSIONS FROM CROPS FOR DIRECT CONSUMPTION</c:v>
                </c:pt>
                <c:pt idx="5">
                  <c:v>DIRECT CONSUMPTION CROP PRODUCTS</c:v>
                </c:pt>
              </c:strCache>
            </c:strRef>
          </c:cat>
          <c:val>
            <c:numRef>
              <c:f>'SUMMARY GRAPHS'!$G$38:$G$43</c:f>
              <c:numCache>
                <c:formatCode>General</c:formatCode>
                <c:ptCount val="6"/>
              </c:numCache>
            </c:numRef>
          </c:val>
        </c:ser>
        <c:ser>
          <c:idx val="5"/>
          <c:order val="5"/>
          <c:tx>
            <c:strRef>
              <c:f>'SUMMARY GRAPHS'!$F$37</c:f>
              <c:strCache>
                <c:ptCount val="1"/>
                <c:pt idx="0">
                  <c:v>LAND USE CHANGE EMISSIONS</c:v>
                </c:pt>
              </c:strCache>
            </c:strRef>
          </c:tx>
          <c:spPr>
            <a:solidFill>
              <a:schemeClr val="accent1">
                <a:lumMod val="75000"/>
              </a:schemeClr>
            </a:solidFill>
          </c:spPr>
          <c:invertIfNegative val="0"/>
          <c:cat>
            <c:strRef>
              <c:f>'SUMMARY GRAPHS'!$B$38:$B$43</c:f>
              <c:strCache>
                <c:ptCount val="6"/>
                <c:pt idx="0">
                  <c:v>ALL LIVESTOCK EMISSIONS</c:v>
                </c:pt>
                <c:pt idx="1">
                  <c:v>LIVESTOCK PRODUCTS</c:v>
                </c:pt>
                <c:pt idx="4">
                  <c:v>EMISSIONS FROM CROPS FOR DIRECT CONSUMPTION</c:v>
                </c:pt>
                <c:pt idx="5">
                  <c:v>DIRECT CONSUMPTION CROP PRODUCTS</c:v>
                </c:pt>
              </c:strCache>
            </c:strRef>
          </c:cat>
          <c:val>
            <c:numRef>
              <c:f>'SUMMARY GRAPHS'!$H$38:$H$43</c:f>
              <c:numCache>
                <c:formatCode>General</c:formatCode>
                <c:ptCount val="6"/>
              </c:numCache>
            </c:numRef>
          </c:val>
        </c:ser>
        <c:dLbls>
          <c:showLegendKey val="0"/>
          <c:showVal val="0"/>
          <c:showCatName val="0"/>
          <c:showSerName val="0"/>
          <c:showPercent val="0"/>
          <c:showBubbleSize val="0"/>
        </c:dLbls>
        <c:gapWidth val="150"/>
        <c:overlap val="100"/>
        <c:axId val="230057088"/>
        <c:axId val="230058624"/>
      </c:barChart>
      <c:catAx>
        <c:axId val="230057088"/>
        <c:scaling>
          <c:orientation val="minMax"/>
        </c:scaling>
        <c:delete val="0"/>
        <c:axPos val="b"/>
        <c:numFmt formatCode="General" sourceLinked="1"/>
        <c:majorTickMark val="out"/>
        <c:minorTickMark val="none"/>
        <c:tickLblPos val="nextTo"/>
        <c:txPr>
          <a:bodyPr/>
          <a:lstStyle/>
          <a:p>
            <a:pPr>
              <a:defRPr sz="700" b="1"/>
            </a:pPr>
            <a:endParaRPr lang="en-US"/>
          </a:p>
        </c:txPr>
        <c:crossAx val="230058624"/>
        <c:crosses val="autoZero"/>
        <c:auto val="1"/>
        <c:lblAlgn val="ctr"/>
        <c:lblOffset val="100"/>
        <c:noMultiLvlLbl val="0"/>
      </c:catAx>
      <c:valAx>
        <c:axId val="230058624"/>
        <c:scaling>
          <c:orientation val="minMax"/>
        </c:scaling>
        <c:delete val="0"/>
        <c:axPos val="l"/>
        <c:majorGridlines/>
        <c:title>
          <c:tx>
            <c:rich>
              <a:bodyPr rot="-5400000" vert="horz"/>
              <a:lstStyle/>
              <a:p>
                <a:pPr>
                  <a:defRPr/>
                </a:pPr>
                <a:r>
                  <a:rPr lang="en-GB"/>
                  <a:t>GHGE, MtCO2e. Output, Mt</a:t>
                </a:r>
              </a:p>
            </c:rich>
          </c:tx>
          <c:layout>
            <c:manualLayout>
              <c:xMode val="edge"/>
              <c:yMode val="edge"/>
              <c:x val="3.2884902840059793E-2"/>
              <c:y val="0.26629442232268496"/>
            </c:manualLayout>
          </c:layout>
          <c:overlay val="0"/>
        </c:title>
        <c:numFmt formatCode="General" sourceLinked="1"/>
        <c:majorTickMark val="out"/>
        <c:minorTickMark val="none"/>
        <c:tickLblPos val="nextTo"/>
        <c:crossAx val="230057088"/>
        <c:crosses val="autoZero"/>
        <c:crossBetween val="between"/>
      </c:valAx>
    </c:plotArea>
    <c:legend>
      <c:legendPos val="r"/>
      <c:legendEntry>
        <c:idx val="2"/>
        <c:delete val="1"/>
      </c:legendEntry>
      <c:layout>
        <c:manualLayout>
          <c:xMode val="edge"/>
          <c:yMode val="edge"/>
          <c:x val="0.62676122856759242"/>
          <c:y val="0.24107720298693633"/>
          <c:w val="0.32910637424083272"/>
          <c:h val="0.65135849153949221"/>
        </c:manualLayout>
      </c:layout>
      <c:overlay val="0"/>
      <c:txPr>
        <a:bodyPr/>
        <a:lstStyle/>
        <a:p>
          <a:pPr>
            <a:defRPr sz="800"/>
          </a:pPr>
          <a:endParaRPr lang="en-US"/>
        </a:p>
      </c:txPr>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0.20359</cdr:x>
      <cdr:y>0.19529</cdr:y>
    </cdr:from>
    <cdr:to>
      <cdr:x>0.31936</cdr:x>
      <cdr:y>0.33006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71550" y="790574"/>
          <a:ext cx="552450" cy="54554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0.5737</cdr:x>
      <cdr:y>0.27884</cdr:y>
    </cdr:from>
    <cdr:to>
      <cdr:x>0.65751</cdr:x>
      <cdr:y>0.33483</cdr:y>
    </cdr:to>
    <cdr:sp macro="" textlink="">
      <cdr:nvSpPr>
        <cdr:cNvPr id="2" name="TextBox 1"/>
        <cdr:cNvSpPr txBox="1"/>
      </cdr:nvSpPr>
      <cdr:spPr>
        <a:xfrm xmlns:a="http://schemas.openxmlformats.org/drawingml/2006/main">
          <a:off x="3781426" y="1185864"/>
          <a:ext cx="5524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0.09104</cdr:x>
      <cdr:y>0.09966</cdr:y>
    </cdr:from>
    <cdr:to>
      <cdr:x>0.30202</cdr:x>
      <cdr:y>0.16461</cdr:y>
    </cdr:to>
    <cdr:sp macro="" textlink="">
      <cdr:nvSpPr>
        <cdr:cNvPr id="3" name="TextBox 2"/>
        <cdr:cNvSpPr txBox="1"/>
      </cdr:nvSpPr>
      <cdr:spPr>
        <a:xfrm xmlns:a="http://schemas.openxmlformats.org/drawingml/2006/main">
          <a:off x="600076" y="423864"/>
          <a:ext cx="1390650" cy="276225"/>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100"/>
            <a:t>High meat &amp; dairy</a:t>
          </a:r>
        </a:p>
      </cdr:txBody>
    </cdr:sp>
  </cdr:relSizeAnchor>
  <cdr:relSizeAnchor xmlns:cdr="http://schemas.openxmlformats.org/drawingml/2006/chartDrawing">
    <cdr:from>
      <cdr:x>0.23266</cdr:x>
      <cdr:y>0.28779</cdr:y>
    </cdr:from>
    <cdr:to>
      <cdr:x>0.38728</cdr:x>
      <cdr:y>0.35274</cdr:y>
    </cdr:to>
    <cdr:sp macro="" textlink="">
      <cdr:nvSpPr>
        <cdr:cNvPr id="4" name="TextBox 3"/>
        <cdr:cNvSpPr txBox="1"/>
      </cdr:nvSpPr>
      <cdr:spPr>
        <a:xfrm xmlns:a="http://schemas.openxmlformats.org/drawingml/2006/main">
          <a:off x="1533526" y="1223964"/>
          <a:ext cx="1019175" cy="276225"/>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100"/>
            <a:t>Glutton</a:t>
          </a:r>
        </a:p>
      </cdr:txBody>
    </cdr:sp>
  </cdr:relSizeAnchor>
  <cdr:relSizeAnchor xmlns:cdr="http://schemas.openxmlformats.org/drawingml/2006/chartDrawing">
    <cdr:from>
      <cdr:x>0.40029</cdr:x>
      <cdr:y>0.14222</cdr:y>
    </cdr:from>
    <cdr:to>
      <cdr:x>0.63439</cdr:x>
      <cdr:y>0.20717</cdr:y>
    </cdr:to>
    <cdr:sp macro="" textlink="">
      <cdr:nvSpPr>
        <cdr:cNvPr id="5" name="TextBox 4"/>
        <cdr:cNvSpPr txBox="1"/>
      </cdr:nvSpPr>
      <cdr:spPr>
        <a:xfrm xmlns:a="http://schemas.openxmlformats.org/drawingml/2006/main">
          <a:off x="2638426" y="604839"/>
          <a:ext cx="1543050" cy="276225"/>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100"/>
            <a:t>Organic High Meat</a:t>
          </a:r>
        </a:p>
      </cdr:txBody>
    </cdr:sp>
  </cdr:relSizeAnchor>
  <cdr:relSizeAnchor xmlns:cdr="http://schemas.openxmlformats.org/drawingml/2006/chartDrawing">
    <cdr:from>
      <cdr:x>0.09393</cdr:x>
      <cdr:y>0.53417</cdr:y>
    </cdr:from>
    <cdr:to>
      <cdr:x>0.28324</cdr:x>
      <cdr:y>0.6372</cdr:y>
    </cdr:to>
    <cdr:sp macro="" textlink="">
      <cdr:nvSpPr>
        <cdr:cNvPr id="6" name="TextBox 5"/>
        <cdr:cNvSpPr txBox="1"/>
      </cdr:nvSpPr>
      <cdr:spPr>
        <a:xfrm xmlns:a="http://schemas.openxmlformats.org/drawingml/2006/main">
          <a:off x="619101" y="2274322"/>
          <a:ext cx="1247800" cy="438669"/>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t>Substitute Lacto-Vegetarian</a:t>
          </a:r>
        </a:p>
      </cdr:txBody>
    </cdr:sp>
  </cdr:relSizeAnchor>
  <cdr:relSizeAnchor xmlns:cdr="http://schemas.openxmlformats.org/drawingml/2006/chartDrawing">
    <cdr:from>
      <cdr:x>0.16519</cdr:x>
      <cdr:y>0.41854</cdr:y>
    </cdr:from>
    <cdr:to>
      <cdr:x>0.36272</cdr:x>
      <cdr:y>0.48349</cdr:y>
    </cdr:to>
    <cdr:sp macro="" textlink="">
      <cdr:nvSpPr>
        <cdr:cNvPr id="7" name="TextBox 6"/>
        <cdr:cNvSpPr txBox="1"/>
      </cdr:nvSpPr>
      <cdr:spPr>
        <a:xfrm xmlns:a="http://schemas.openxmlformats.org/drawingml/2006/main">
          <a:off x="871269" y="1540686"/>
          <a:ext cx="1041830" cy="239087"/>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000"/>
            <a:t>2010</a:t>
          </a:r>
          <a:r>
            <a:rPr lang="en-GB" sz="1000" baseline="0"/>
            <a:t> average</a:t>
          </a:r>
          <a:endParaRPr lang="en-GB" sz="1000"/>
        </a:p>
      </cdr:txBody>
    </cdr:sp>
  </cdr:relSizeAnchor>
  <cdr:relSizeAnchor xmlns:cdr="http://schemas.openxmlformats.org/drawingml/2006/chartDrawing">
    <cdr:from>
      <cdr:x>0.27457</cdr:x>
      <cdr:y>0.62374</cdr:y>
    </cdr:from>
    <cdr:to>
      <cdr:x>0.38728</cdr:x>
      <cdr:y>0.72676</cdr:y>
    </cdr:to>
    <cdr:sp macro="" textlink="">
      <cdr:nvSpPr>
        <cdr:cNvPr id="8" name="TextBox 7"/>
        <cdr:cNvSpPr txBox="1"/>
      </cdr:nvSpPr>
      <cdr:spPr>
        <a:xfrm xmlns:a="http://schemas.openxmlformats.org/drawingml/2006/main">
          <a:off x="1809751" y="2652714"/>
          <a:ext cx="742950" cy="438150"/>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t>Eat Less</a:t>
          </a:r>
        </a:p>
      </cdr:txBody>
    </cdr:sp>
  </cdr:relSizeAnchor>
  <cdr:relSizeAnchor xmlns:cdr="http://schemas.openxmlformats.org/drawingml/2006/chartDrawing">
    <cdr:from>
      <cdr:x>0.10549</cdr:x>
      <cdr:y>0.80515</cdr:y>
    </cdr:from>
    <cdr:to>
      <cdr:x>0.30347</cdr:x>
      <cdr:y>0.88354</cdr:y>
    </cdr:to>
    <cdr:sp macro="" textlink="">
      <cdr:nvSpPr>
        <cdr:cNvPr id="10" name="TextBox 9"/>
        <cdr:cNvSpPr txBox="1"/>
      </cdr:nvSpPr>
      <cdr:spPr>
        <a:xfrm xmlns:a="http://schemas.openxmlformats.org/drawingml/2006/main">
          <a:off x="695325" y="3424239"/>
          <a:ext cx="1304925" cy="333375"/>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t>Junk-food vegan</a:t>
          </a:r>
        </a:p>
      </cdr:txBody>
    </cdr:sp>
  </cdr:relSizeAnchor>
  <cdr:relSizeAnchor xmlns:cdr="http://schemas.openxmlformats.org/drawingml/2006/chartDrawing">
    <cdr:from>
      <cdr:x>0.55202</cdr:x>
      <cdr:y>0.83646</cdr:y>
    </cdr:from>
    <cdr:to>
      <cdr:x>0.71676</cdr:x>
      <cdr:y>0.90813</cdr:y>
    </cdr:to>
    <cdr:sp macro="" textlink="">
      <cdr:nvSpPr>
        <cdr:cNvPr id="11" name="TextBox 10"/>
        <cdr:cNvSpPr txBox="1"/>
      </cdr:nvSpPr>
      <cdr:spPr>
        <a:xfrm xmlns:a="http://schemas.openxmlformats.org/drawingml/2006/main">
          <a:off x="3638553" y="3561393"/>
          <a:ext cx="1085850" cy="305147"/>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t>Smart Vegan</a:t>
          </a:r>
        </a:p>
      </cdr:txBody>
    </cdr:sp>
  </cdr:relSizeAnchor>
  <cdr:relSizeAnchor xmlns:cdr="http://schemas.openxmlformats.org/drawingml/2006/chartDrawing">
    <cdr:from>
      <cdr:x>0.78179</cdr:x>
      <cdr:y>0.79171</cdr:y>
    </cdr:from>
    <cdr:to>
      <cdr:x>0.87861</cdr:x>
      <cdr:y>0.89474</cdr:y>
    </cdr:to>
    <cdr:sp macro="" textlink="">
      <cdr:nvSpPr>
        <cdr:cNvPr id="12" name="TextBox 11"/>
        <cdr:cNvSpPr txBox="1"/>
      </cdr:nvSpPr>
      <cdr:spPr>
        <a:xfrm xmlns:a="http://schemas.openxmlformats.org/drawingml/2006/main">
          <a:off x="5153026" y="3367089"/>
          <a:ext cx="638175" cy="438150"/>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t>Gorilla</a:t>
          </a:r>
          <a:endParaRPr lang="en-GB" sz="1100"/>
        </a:p>
      </cdr:txBody>
    </cdr:sp>
  </cdr:relSizeAnchor>
  <cdr:relSizeAnchor xmlns:cdr="http://schemas.openxmlformats.org/drawingml/2006/chartDrawing">
    <cdr:from>
      <cdr:x>0.47977</cdr:x>
      <cdr:y>0.53639</cdr:y>
    </cdr:from>
    <cdr:to>
      <cdr:x>0.6763</cdr:x>
      <cdr:y>0.63942</cdr:y>
    </cdr:to>
    <cdr:sp macro="" textlink="">
      <cdr:nvSpPr>
        <cdr:cNvPr id="13" name="TextBox 12"/>
        <cdr:cNvSpPr txBox="1"/>
      </cdr:nvSpPr>
      <cdr:spPr>
        <a:xfrm xmlns:a="http://schemas.openxmlformats.org/drawingml/2006/main">
          <a:off x="3162301" y="2281239"/>
          <a:ext cx="1295400" cy="438150"/>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t>MacDiarmid</a:t>
          </a:r>
          <a:endParaRPr lang="en-GB" sz="1100"/>
        </a:p>
      </cdr:txBody>
    </cdr:sp>
  </cdr:relSizeAnchor>
  <cdr:relSizeAnchor xmlns:cdr="http://schemas.openxmlformats.org/drawingml/2006/chartDrawing">
    <cdr:from>
      <cdr:x>0.48266</cdr:x>
      <cdr:y>0.74689</cdr:y>
    </cdr:from>
    <cdr:to>
      <cdr:x>0.68641</cdr:x>
      <cdr:y>0.81432</cdr:y>
    </cdr:to>
    <cdr:sp macro="" textlink="">
      <cdr:nvSpPr>
        <cdr:cNvPr id="14" name="TextBox 13"/>
        <cdr:cNvSpPr txBox="1"/>
      </cdr:nvSpPr>
      <cdr:spPr>
        <a:xfrm xmlns:a="http://schemas.openxmlformats.org/drawingml/2006/main">
          <a:off x="3181355" y="3180009"/>
          <a:ext cx="1342977" cy="287095"/>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n-GB" sz="900"/>
            <a:t>Laura's Diet</a:t>
          </a:r>
        </a:p>
      </cdr:txBody>
    </cdr:sp>
  </cdr:relSizeAnchor>
  <cdr:relSizeAnchor xmlns:cdr="http://schemas.openxmlformats.org/drawingml/2006/chartDrawing">
    <cdr:from>
      <cdr:x>0.54769</cdr:x>
      <cdr:y>0.64614</cdr:y>
    </cdr:from>
    <cdr:to>
      <cdr:x>0.74422</cdr:x>
      <cdr:y>0.71109</cdr:y>
    </cdr:to>
    <cdr:sp macro="" textlink="">
      <cdr:nvSpPr>
        <cdr:cNvPr id="16" name="TextBox 15"/>
        <cdr:cNvSpPr txBox="1"/>
      </cdr:nvSpPr>
      <cdr:spPr>
        <a:xfrm xmlns:a="http://schemas.openxmlformats.org/drawingml/2006/main">
          <a:off x="3609957" y="2751066"/>
          <a:ext cx="1295388" cy="276536"/>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000"/>
            <a:t>Carbon </a:t>
          </a:r>
          <a:r>
            <a:rPr lang="en-GB" sz="900"/>
            <a:t>Minimiser</a:t>
          </a:r>
          <a:endParaRPr lang="en-GB" sz="1000"/>
        </a:p>
      </cdr:txBody>
    </cdr:sp>
  </cdr:relSizeAnchor>
  <cdr:relSizeAnchor xmlns:cdr="http://schemas.openxmlformats.org/drawingml/2006/chartDrawing">
    <cdr:from>
      <cdr:x>0.43786</cdr:x>
      <cdr:y>0.67756</cdr:y>
    </cdr:from>
    <cdr:to>
      <cdr:x>0.57514</cdr:x>
      <cdr:y>0.74944</cdr:y>
    </cdr:to>
    <cdr:sp macro="" textlink="">
      <cdr:nvSpPr>
        <cdr:cNvPr id="17" name="TextBox 16"/>
        <cdr:cNvSpPr txBox="1"/>
      </cdr:nvSpPr>
      <cdr:spPr>
        <a:xfrm xmlns:a="http://schemas.openxmlformats.org/drawingml/2006/main">
          <a:off x="2886059" y="2884838"/>
          <a:ext cx="904891" cy="306038"/>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t>Light Lacto</a:t>
          </a:r>
        </a:p>
      </cdr:txBody>
    </cdr:sp>
  </cdr:relSizeAnchor>
  <cdr:relSizeAnchor xmlns:cdr="http://schemas.openxmlformats.org/drawingml/2006/chartDrawing">
    <cdr:from>
      <cdr:x>0.42052</cdr:x>
      <cdr:y>0.75807</cdr:y>
    </cdr:from>
    <cdr:to>
      <cdr:x>0.55202</cdr:x>
      <cdr:y>0.84787</cdr:y>
    </cdr:to>
    <cdr:sp macro="" textlink="">
      <cdr:nvSpPr>
        <cdr:cNvPr id="18" name="TextBox 17"/>
        <cdr:cNvSpPr txBox="1"/>
      </cdr:nvSpPr>
      <cdr:spPr>
        <a:xfrm xmlns:a="http://schemas.openxmlformats.org/drawingml/2006/main">
          <a:off x="2771775" y="3227621"/>
          <a:ext cx="866776" cy="382353"/>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t>Optimum Behaviour</a:t>
          </a:r>
        </a:p>
      </cdr:txBody>
    </cdr:sp>
  </cdr:relSizeAnchor>
  <cdr:relSizeAnchor xmlns:cdr="http://schemas.openxmlformats.org/drawingml/2006/chartDrawing">
    <cdr:from>
      <cdr:x>0.34674</cdr:x>
      <cdr:y>0.44994</cdr:y>
    </cdr:from>
    <cdr:to>
      <cdr:x>0.46286</cdr:x>
      <cdr:y>0.62427</cdr:y>
    </cdr:to>
    <cdr:sp macro="" textlink="">
      <cdr:nvSpPr>
        <cdr:cNvPr id="19" name="TextBox 18"/>
        <cdr:cNvSpPr txBox="1"/>
      </cdr:nvSpPr>
      <cdr:spPr>
        <a:xfrm xmlns:a="http://schemas.openxmlformats.org/drawingml/2006/main">
          <a:off x="1828801" y="1656272"/>
          <a:ext cx="612475" cy="641739"/>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t>ZCB with Sunday roast</a:t>
          </a:r>
        </a:p>
      </cdr:txBody>
    </cdr:sp>
  </cdr:relSizeAnchor>
  <cdr:relSizeAnchor xmlns:cdr="http://schemas.openxmlformats.org/drawingml/2006/chartDrawing">
    <cdr:from>
      <cdr:x>0.41329</cdr:x>
      <cdr:y>0.64171</cdr:y>
    </cdr:from>
    <cdr:to>
      <cdr:x>0.55491</cdr:x>
      <cdr:y>0.71365</cdr:y>
    </cdr:to>
    <cdr:sp macro="" textlink="">
      <cdr:nvSpPr>
        <cdr:cNvPr id="20" name="TextBox 19"/>
        <cdr:cNvSpPr txBox="1"/>
      </cdr:nvSpPr>
      <cdr:spPr>
        <a:xfrm xmlns:a="http://schemas.openxmlformats.org/drawingml/2006/main">
          <a:off x="2724124" y="2732174"/>
          <a:ext cx="933460" cy="306297"/>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800"/>
            <a:t>ZCB2030</a:t>
          </a:r>
        </a:p>
      </cdr:txBody>
    </cdr:sp>
  </cdr:relSizeAnchor>
  <cdr:relSizeAnchor xmlns:cdr="http://schemas.openxmlformats.org/drawingml/2006/chartDrawing">
    <cdr:from>
      <cdr:x>0.32225</cdr:x>
      <cdr:y>0.7179</cdr:y>
    </cdr:from>
    <cdr:to>
      <cdr:x>0.40029</cdr:x>
      <cdr:y>0.79629</cdr:y>
    </cdr:to>
    <cdr:sp macro="" textlink="">
      <cdr:nvSpPr>
        <cdr:cNvPr id="21" name="TextBox 20"/>
        <cdr:cNvSpPr txBox="1"/>
      </cdr:nvSpPr>
      <cdr:spPr>
        <a:xfrm xmlns:a="http://schemas.openxmlformats.org/drawingml/2006/main">
          <a:off x="2124048" y="3056603"/>
          <a:ext cx="514377" cy="333759"/>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050" b="1"/>
            <a:t>ZCB3</a:t>
          </a:r>
          <a:endParaRPr lang="en-GB"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5213</TotalTime>
  <Pages>20</Pages>
  <Words>5331</Words>
  <Characters>30389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Harper</dc:creator>
  <cp:lastModifiedBy>Peter Harper</cp:lastModifiedBy>
  <cp:revision>15</cp:revision>
  <dcterms:created xsi:type="dcterms:W3CDTF">2014-05-10T16:25:00Z</dcterms:created>
  <dcterms:modified xsi:type="dcterms:W3CDTF">2014-05-18T10:59:00Z</dcterms:modified>
</cp:coreProperties>
</file>